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73C" w:rsidRPr="003A59CF" w:rsidRDefault="00DB673C" w:rsidP="00FD4548">
      <w:pPr>
        <w:pStyle w:val="LegalHeading"/>
        <w:widowControl w:val="0"/>
        <w:spacing w:line="240" w:lineRule="auto"/>
        <w:jc w:val="center"/>
      </w:pPr>
      <w:r w:rsidRPr="003A59CF">
        <w:t>NO. 412,249-401</w:t>
      </w:r>
    </w:p>
    <w:p w:rsidR="00DB673C" w:rsidRPr="003A59CF" w:rsidRDefault="00DB673C" w:rsidP="00FD4548">
      <w:pPr>
        <w:pStyle w:val="LegalHeading"/>
        <w:widowControl w:val="0"/>
        <w:spacing w:line="240" w:lineRule="auto"/>
      </w:pPr>
      <w:r w:rsidRPr="003A59CF">
        <w:t xml:space="preserve">CARL HENRY BRUNSTING, </w:t>
      </w:r>
      <w:r w:rsidRPr="003A59CF">
        <w:tab/>
      </w:r>
      <w:r w:rsidRPr="003A59CF">
        <w:tab/>
        <w:t xml:space="preserve">§ </w:t>
      </w:r>
      <w:r w:rsidRPr="003A59CF">
        <w:tab/>
        <w:t>IN PROBATE COURT</w:t>
      </w:r>
    </w:p>
    <w:p w:rsidR="00DB673C" w:rsidRPr="003A59CF" w:rsidRDefault="00DB673C" w:rsidP="00FD4548">
      <w:pPr>
        <w:pStyle w:val="LegalHeading"/>
        <w:widowControl w:val="0"/>
        <w:spacing w:line="240" w:lineRule="auto"/>
      </w:pPr>
      <w:r w:rsidRPr="003A59CF">
        <w:t>INDIVIDUALLY AND AS</w:t>
      </w:r>
      <w:r w:rsidRPr="003A59CF">
        <w:tab/>
      </w:r>
      <w:r w:rsidRPr="003A59CF">
        <w:tab/>
      </w:r>
      <w:r w:rsidRPr="003A59CF">
        <w:tab/>
        <w:t xml:space="preserve">§ </w:t>
      </w:r>
    </w:p>
    <w:p w:rsidR="00DB673C" w:rsidRPr="003A59CF" w:rsidRDefault="00DB673C" w:rsidP="00FD4548">
      <w:pPr>
        <w:pStyle w:val="LegalHeading"/>
        <w:widowControl w:val="0"/>
        <w:spacing w:line="240" w:lineRule="auto"/>
      </w:pPr>
      <w:r w:rsidRPr="003A59CF">
        <w:t xml:space="preserve">INDEPENDENT EXECUTOR OF THE </w:t>
      </w:r>
      <w:r w:rsidRPr="003A59CF">
        <w:tab/>
        <w:t>§</w:t>
      </w:r>
    </w:p>
    <w:p w:rsidR="00DB673C" w:rsidRPr="003A59CF" w:rsidRDefault="00DB673C" w:rsidP="00FD4548">
      <w:pPr>
        <w:pStyle w:val="LegalHeading"/>
        <w:widowControl w:val="0"/>
        <w:spacing w:line="240" w:lineRule="auto"/>
      </w:pPr>
      <w:r w:rsidRPr="003A59CF">
        <w:t xml:space="preserve">ESTATES OF ELMER H. BRUNSTING </w:t>
      </w:r>
      <w:r w:rsidRPr="003A59CF">
        <w:tab/>
        <w:t>§</w:t>
      </w:r>
    </w:p>
    <w:p w:rsidR="00DB673C" w:rsidRPr="003A59CF" w:rsidRDefault="00DB673C" w:rsidP="00FD4548">
      <w:pPr>
        <w:pStyle w:val="LegalHeading"/>
        <w:widowControl w:val="0"/>
        <w:spacing w:line="240" w:lineRule="auto"/>
      </w:pPr>
      <w:r w:rsidRPr="003A59CF">
        <w:t>AND NELVA E. BRUNSTING</w:t>
      </w:r>
      <w:r w:rsidRPr="003A59CF">
        <w:tab/>
      </w:r>
      <w:r w:rsidRPr="003A59CF">
        <w:tab/>
        <w:t>§</w:t>
      </w:r>
      <w:r w:rsidRPr="003A59CF">
        <w:tab/>
        <w:t>NUMBER FOUR (4)</w:t>
      </w:r>
    </w:p>
    <w:p w:rsidR="00DB673C" w:rsidRPr="003A59CF" w:rsidRDefault="00DB673C" w:rsidP="00FD4548">
      <w:pPr>
        <w:pStyle w:val="LegalHeading"/>
        <w:widowControl w:val="0"/>
        <w:spacing w:line="240" w:lineRule="auto"/>
      </w:pPr>
      <w:r w:rsidRPr="003A59CF">
        <w:tab/>
      </w:r>
      <w:r w:rsidRPr="003A59CF">
        <w:tab/>
      </w:r>
      <w:r w:rsidRPr="003A59CF">
        <w:tab/>
      </w:r>
      <w:r w:rsidRPr="003A59CF">
        <w:tab/>
      </w:r>
      <w:r w:rsidRPr="003A59CF">
        <w:tab/>
      </w:r>
      <w:r w:rsidRPr="003A59CF">
        <w:tab/>
        <w:t>§</w:t>
      </w:r>
    </w:p>
    <w:p w:rsidR="00DB673C" w:rsidRPr="003A59CF" w:rsidRDefault="00DB673C" w:rsidP="00FD4548">
      <w:pPr>
        <w:pStyle w:val="LegalHeading"/>
        <w:widowControl w:val="0"/>
        <w:spacing w:line="240" w:lineRule="auto"/>
      </w:pPr>
      <w:proofErr w:type="gramStart"/>
      <w:r w:rsidRPr="003A59CF">
        <w:t>vs</w:t>
      </w:r>
      <w:proofErr w:type="gramEnd"/>
      <w:r w:rsidRPr="003A59CF">
        <w:t xml:space="preserve">. </w:t>
      </w:r>
      <w:r w:rsidRPr="003A59CF">
        <w:tab/>
      </w:r>
      <w:r w:rsidRPr="003A59CF">
        <w:tab/>
      </w:r>
      <w:r w:rsidRPr="003A59CF">
        <w:tab/>
      </w:r>
      <w:r w:rsidRPr="003A59CF">
        <w:tab/>
      </w:r>
      <w:r w:rsidRPr="003A59CF">
        <w:tab/>
      </w:r>
      <w:r w:rsidRPr="003A59CF">
        <w:tab/>
        <w:t xml:space="preserve">§ </w:t>
      </w:r>
      <w:r w:rsidRPr="003A59CF">
        <w:tab/>
      </w:r>
    </w:p>
    <w:p w:rsidR="00DB673C" w:rsidRPr="003A59CF" w:rsidRDefault="00DB673C" w:rsidP="00FD4548">
      <w:pPr>
        <w:pStyle w:val="LegalHeading"/>
        <w:widowControl w:val="0"/>
        <w:spacing w:line="240" w:lineRule="auto"/>
        <w:ind w:left="4320"/>
      </w:pPr>
      <w:r w:rsidRPr="003A59CF">
        <w:t>§</w:t>
      </w:r>
    </w:p>
    <w:p w:rsidR="00DB673C" w:rsidRPr="003A59CF" w:rsidRDefault="00DB673C" w:rsidP="00FD4548">
      <w:pPr>
        <w:pStyle w:val="LegalHeading"/>
        <w:widowControl w:val="0"/>
        <w:spacing w:line="240" w:lineRule="auto"/>
      </w:pPr>
      <w:r w:rsidRPr="003A59CF">
        <w:t>ANITA KAY BRUNSTING f/k/a</w:t>
      </w:r>
      <w:r w:rsidRPr="003A59CF">
        <w:tab/>
      </w:r>
      <w:r w:rsidRPr="003A59CF">
        <w:tab/>
        <w:t xml:space="preserve">§ </w:t>
      </w:r>
      <w:r w:rsidRPr="003A59CF">
        <w:tab/>
        <w:t>HARRIS COUNTY, TEXAS</w:t>
      </w:r>
    </w:p>
    <w:p w:rsidR="00DB673C" w:rsidRPr="003A59CF" w:rsidRDefault="00DB673C" w:rsidP="00FD4548">
      <w:pPr>
        <w:pStyle w:val="LegalHeading"/>
        <w:widowControl w:val="0"/>
        <w:spacing w:line="240" w:lineRule="auto"/>
      </w:pPr>
      <w:r w:rsidRPr="003A59CF">
        <w:t>ANITA KAY RILEY, individually,</w:t>
      </w:r>
      <w:r w:rsidRPr="003A59CF">
        <w:tab/>
      </w:r>
      <w:r w:rsidRPr="003A59CF">
        <w:tab/>
        <w:t>§</w:t>
      </w:r>
    </w:p>
    <w:p w:rsidR="00DB673C" w:rsidRPr="003A59CF" w:rsidRDefault="00DB673C" w:rsidP="00FD4548">
      <w:pPr>
        <w:pStyle w:val="LegalHeading"/>
        <w:widowControl w:val="0"/>
        <w:spacing w:line="240" w:lineRule="auto"/>
      </w:pPr>
      <w:proofErr w:type="gramStart"/>
      <w:r w:rsidRPr="003A59CF">
        <w:t>as</w:t>
      </w:r>
      <w:proofErr w:type="gramEnd"/>
      <w:r w:rsidRPr="003A59CF">
        <w:t xml:space="preserve"> attorney-in-fact for Nelva E. Brunsting,</w:t>
      </w:r>
      <w:r w:rsidRPr="003A59CF">
        <w:tab/>
        <w:t>§</w:t>
      </w:r>
    </w:p>
    <w:p w:rsidR="00DB673C" w:rsidRPr="003A59CF" w:rsidRDefault="00DB673C" w:rsidP="00FD4548">
      <w:pPr>
        <w:pStyle w:val="LegalHeading"/>
        <w:widowControl w:val="0"/>
        <w:spacing w:line="240" w:lineRule="auto"/>
      </w:pPr>
      <w:proofErr w:type="gramStart"/>
      <w:r w:rsidRPr="003A59CF">
        <w:t>and</w:t>
      </w:r>
      <w:proofErr w:type="gramEnd"/>
      <w:r w:rsidRPr="003A59CF">
        <w:t xml:space="preserve"> as Successor Trustee of the Brunsting</w:t>
      </w:r>
      <w:r w:rsidRPr="003A59CF">
        <w:tab/>
        <w:t>§</w:t>
      </w:r>
    </w:p>
    <w:p w:rsidR="00DB673C" w:rsidRPr="003A59CF" w:rsidRDefault="00DB673C" w:rsidP="00FD4548">
      <w:pPr>
        <w:pStyle w:val="LegalHeading"/>
        <w:widowControl w:val="0"/>
        <w:spacing w:line="240" w:lineRule="auto"/>
      </w:pPr>
      <w:proofErr w:type="gramStart"/>
      <w:r w:rsidRPr="003A59CF">
        <w:t>Family Living Trust, the Elmer H.</w:t>
      </w:r>
      <w:proofErr w:type="gramEnd"/>
      <w:r w:rsidRPr="003A59CF">
        <w:tab/>
      </w:r>
      <w:r w:rsidRPr="003A59CF">
        <w:tab/>
        <w:t>§</w:t>
      </w:r>
    </w:p>
    <w:p w:rsidR="00DB673C" w:rsidRPr="003A59CF" w:rsidRDefault="00DB673C" w:rsidP="00FD4548">
      <w:pPr>
        <w:pStyle w:val="LegalHeading"/>
        <w:widowControl w:val="0"/>
        <w:spacing w:line="240" w:lineRule="auto"/>
      </w:pPr>
      <w:r w:rsidRPr="003A59CF">
        <w:t>Brunsting Decedent's Trust, the</w:t>
      </w:r>
      <w:r w:rsidRPr="003A59CF">
        <w:tab/>
      </w:r>
      <w:r w:rsidRPr="003A59CF">
        <w:tab/>
        <w:t>§</w:t>
      </w:r>
    </w:p>
    <w:p w:rsidR="00DB673C" w:rsidRPr="003A59CF" w:rsidRDefault="00DB673C" w:rsidP="00FD4548">
      <w:pPr>
        <w:pStyle w:val="LegalHeading"/>
        <w:widowControl w:val="0"/>
        <w:spacing w:line="240" w:lineRule="auto"/>
      </w:pPr>
      <w:r w:rsidRPr="003A59CF">
        <w:t>Nelva E. Brunsting Survivor's Trust,</w:t>
      </w:r>
      <w:r w:rsidRPr="003A59CF">
        <w:tab/>
      </w:r>
      <w:r w:rsidRPr="003A59CF">
        <w:tab/>
        <w:t>§</w:t>
      </w:r>
    </w:p>
    <w:p w:rsidR="00DB673C" w:rsidRPr="003A59CF" w:rsidRDefault="00DB673C" w:rsidP="00FD4548">
      <w:pPr>
        <w:pStyle w:val="LegalHeading"/>
        <w:widowControl w:val="0"/>
        <w:spacing w:line="240" w:lineRule="auto"/>
      </w:pPr>
      <w:proofErr w:type="gramStart"/>
      <w:r w:rsidRPr="003A59CF">
        <w:t>the</w:t>
      </w:r>
      <w:proofErr w:type="gramEnd"/>
      <w:r w:rsidRPr="003A59CF">
        <w:t xml:space="preserve"> Carl Henry Brunsting Personal</w:t>
      </w:r>
      <w:r w:rsidRPr="003A59CF">
        <w:tab/>
      </w:r>
      <w:r w:rsidRPr="003A59CF">
        <w:tab/>
        <w:t>§</w:t>
      </w:r>
    </w:p>
    <w:p w:rsidR="00DB673C" w:rsidRPr="003A59CF" w:rsidRDefault="00DB673C" w:rsidP="00FD4548">
      <w:pPr>
        <w:pStyle w:val="LegalHeading"/>
        <w:widowControl w:val="0"/>
        <w:spacing w:line="240" w:lineRule="auto"/>
      </w:pPr>
      <w:r w:rsidRPr="003A59CF">
        <w:t>Asset Trust, and the Anita Kay Brunsting</w:t>
      </w:r>
      <w:r w:rsidRPr="003A59CF">
        <w:tab/>
        <w:t>§</w:t>
      </w:r>
    </w:p>
    <w:p w:rsidR="00DB673C" w:rsidRPr="003A59CF" w:rsidRDefault="00DB673C" w:rsidP="00FD4548">
      <w:pPr>
        <w:pStyle w:val="LegalHeading"/>
        <w:widowControl w:val="0"/>
        <w:spacing w:line="240" w:lineRule="auto"/>
      </w:pPr>
      <w:r w:rsidRPr="003A59CF">
        <w:t>Personal Asset Trust;</w:t>
      </w:r>
      <w:r w:rsidRPr="003A59CF">
        <w:tab/>
      </w:r>
      <w:r w:rsidRPr="003A59CF">
        <w:tab/>
      </w:r>
      <w:r w:rsidRPr="003A59CF">
        <w:tab/>
      </w:r>
      <w:r w:rsidRPr="003A59CF">
        <w:tab/>
        <w:t>§</w:t>
      </w:r>
    </w:p>
    <w:p w:rsidR="00DB673C" w:rsidRPr="003A59CF" w:rsidRDefault="00DB673C" w:rsidP="00FD4548">
      <w:pPr>
        <w:pStyle w:val="LegalHeading"/>
        <w:widowControl w:val="0"/>
        <w:spacing w:line="240" w:lineRule="auto"/>
      </w:pPr>
      <w:r w:rsidRPr="003A59CF">
        <w:t>AMY RUTH BRUNSTING f/k/a</w:t>
      </w:r>
      <w:r w:rsidRPr="003A59CF">
        <w:tab/>
      </w:r>
      <w:r w:rsidRPr="003A59CF">
        <w:tab/>
        <w:t>§</w:t>
      </w:r>
    </w:p>
    <w:p w:rsidR="00DB673C" w:rsidRPr="003A59CF" w:rsidRDefault="00DB673C" w:rsidP="00FD4548">
      <w:pPr>
        <w:pStyle w:val="LegalHeading"/>
        <w:widowControl w:val="0"/>
        <w:spacing w:line="240" w:lineRule="auto"/>
      </w:pPr>
      <w:r w:rsidRPr="003A59CF">
        <w:t>AMY RUTH TSCHIRHART,</w:t>
      </w:r>
      <w:r w:rsidRPr="003A59CF">
        <w:tab/>
      </w:r>
      <w:r w:rsidRPr="003A59CF">
        <w:tab/>
        <w:t>§</w:t>
      </w:r>
    </w:p>
    <w:p w:rsidR="00DB673C" w:rsidRPr="003A59CF" w:rsidRDefault="00DB673C" w:rsidP="00FD4548">
      <w:pPr>
        <w:pStyle w:val="LegalHeading"/>
        <w:widowControl w:val="0"/>
        <w:spacing w:line="240" w:lineRule="auto"/>
      </w:pPr>
      <w:proofErr w:type="gramStart"/>
      <w:r w:rsidRPr="003A59CF">
        <w:t>individually</w:t>
      </w:r>
      <w:proofErr w:type="gramEnd"/>
      <w:r w:rsidRPr="003A59CF">
        <w:t xml:space="preserve"> and as Successor Trustee</w:t>
      </w:r>
      <w:r w:rsidRPr="003A59CF">
        <w:tab/>
        <w:t>§</w:t>
      </w:r>
    </w:p>
    <w:p w:rsidR="00DB673C" w:rsidRPr="003A59CF" w:rsidRDefault="00DB673C" w:rsidP="00FD4548">
      <w:pPr>
        <w:pStyle w:val="LegalHeading"/>
        <w:widowControl w:val="0"/>
        <w:spacing w:line="240" w:lineRule="auto"/>
      </w:pPr>
      <w:proofErr w:type="gramStart"/>
      <w:r w:rsidRPr="003A59CF">
        <w:t>of</w:t>
      </w:r>
      <w:proofErr w:type="gramEnd"/>
      <w:r w:rsidRPr="003A59CF">
        <w:t xml:space="preserve"> the Brunsting Family Living Trust,</w:t>
      </w:r>
      <w:r w:rsidRPr="003A59CF">
        <w:tab/>
        <w:t>§</w:t>
      </w:r>
    </w:p>
    <w:p w:rsidR="00DB673C" w:rsidRPr="003A59CF" w:rsidRDefault="00DB673C" w:rsidP="00FD4548">
      <w:pPr>
        <w:pStyle w:val="LegalHeading"/>
        <w:widowControl w:val="0"/>
        <w:spacing w:line="240" w:lineRule="auto"/>
      </w:pPr>
      <w:proofErr w:type="gramStart"/>
      <w:r w:rsidRPr="003A59CF">
        <w:t>the</w:t>
      </w:r>
      <w:proofErr w:type="gramEnd"/>
      <w:r w:rsidRPr="003A59CF">
        <w:t xml:space="preserve"> Elmer H. Brunsting Decedent’s Trust,</w:t>
      </w:r>
      <w:r w:rsidRPr="003A59CF">
        <w:tab/>
        <w:t>§</w:t>
      </w:r>
    </w:p>
    <w:p w:rsidR="00DB673C" w:rsidRPr="003A59CF" w:rsidRDefault="00DB673C" w:rsidP="00FD4548">
      <w:pPr>
        <w:pStyle w:val="LegalHeading"/>
        <w:widowControl w:val="0"/>
        <w:spacing w:line="240" w:lineRule="auto"/>
      </w:pPr>
      <w:proofErr w:type="gramStart"/>
      <w:r w:rsidRPr="003A59CF">
        <w:t>the</w:t>
      </w:r>
      <w:proofErr w:type="gramEnd"/>
      <w:r w:rsidRPr="003A59CF">
        <w:t xml:space="preserve"> Nelva E. Brunsting Survivor's Trust,</w:t>
      </w:r>
      <w:r w:rsidRPr="003A59CF">
        <w:tab/>
        <w:t>§</w:t>
      </w:r>
    </w:p>
    <w:p w:rsidR="00DB673C" w:rsidRPr="003A59CF" w:rsidRDefault="00DB673C" w:rsidP="00FD4548">
      <w:pPr>
        <w:pStyle w:val="LegalHeading"/>
        <w:widowControl w:val="0"/>
        <w:spacing w:line="240" w:lineRule="auto"/>
      </w:pPr>
      <w:proofErr w:type="gramStart"/>
      <w:r w:rsidRPr="003A59CF">
        <w:t>the</w:t>
      </w:r>
      <w:proofErr w:type="gramEnd"/>
      <w:r w:rsidRPr="003A59CF">
        <w:t xml:space="preserve"> Carl Henry Brunsting Personal</w:t>
      </w:r>
      <w:r w:rsidRPr="003A59CF">
        <w:tab/>
      </w:r>
      <w:r w:rsidRPr="003A59CF">
        <w:tab/>
        <w:t>§</w:t>
      </w:r>
    </w:p>
    <w:p w:rsidR="00DB673C" w:rsidRPr="003A59CF" w:rsidRDefault="00DB673C" w:rsidP="00FD4548">
      <w:pPr>
        <w:pStyle w:val="LegalHeading"/>
        <w:widowControl w:val="0"/>
        <w:spacing w:line="240" w:lineRule="auto"/>
      </w:pPr>
      <w:r w:rsidRPr="003A59CF">
        <w:t xml:space="preserve">Asset Trust, and the Amy Ruth </w:t>
      </w:r>
      <w:proofErr w:type="spellStart"/>
      <w:r w:rsidRPr="003A59CF">
        <w:t>Tschirhart</w:t>
      </w:r>
      <w:proofErr w:type="spellEnd"/>
      <w:r w:rsidRPr="003A59CF">
        <w:tab/>
        <w:t>§</w:t>
      </w:r>
    </w:p>
    <w:p w:rsidR="00DB673C" w:rsidRPr="003A59CF" w:rsidRDefault="00DB673C" w:rsidP="00FD4548">
      <w:pPr>
        <w:pStyle w:val="LegalHeading"/>
        <w:widowControl w:val="0"/>
        <w:spacing w:line="240" w:lineRule="auto"/>
      </w:pPr>
      <w:r w:rsidRPr="003A59CF">
        <w:t>Personal Asset Trust;</w:t>
      </w:r>
      <w:r w:rsidRPr="003A59CF">
        <w:tab/>
      </w:r>
      <w:r w:rsidRPr="003A59CF">
        <w:tab/>
      </w:r>
      <w:r w:rsidRPr="003A59CF">
        <w:tab/>
      </w:r>
      <w:r w:rsidRPr="003A59CF">
        <w:tab/>
        <w:t>§</w:t>
      </w:r>
    </w:p>
    <w:p w:rsidR="00DB673C" w:rsidRPr="003A59CF" w:rsidRDefault="00DB673C" w:rsidP="00FD4548">
      <w:pPr>
        <w:pStyle w:val="LegalHeading"/>
        <w:widowControl w:val="0"/>
        <w:spacing w:line="240" w:lineRule="auto"/>
      </w:pPr>
      <w:r w:rsidRPr="003A59CF">
        <w:t xml:space="preserve">CAROLE ANN BRUNSTING, </w:t>
      </w:r>
      <w:r w:rsidRPr="003A59CF">
        <w:tab/>
      </w:r>
      <w:r w:rsidRPr="003A59CF">
        <w:tab/>
        <w:t xml:space="preserve">§ </w:t>
      </w:r>
    </w:p>
    <w:p w:rsidR="00DB673C" w:rsidRPr="003A59CF" w:rsidRDefault="00DB673C" w:rsidP="00FD4548">
      <w:pPr>
        <w:pStyle w:val="LegalHeading"/>
        <w:widowControl w:val="0"/>
        <w:spacing w:line="240" w:lineRule="auto"/>
      </w:pPr>
      <w:r w:rsidRPr="003A59CF">
        <w:t>Individually</w:t>
      </w:r>
      <w:r>
        <w:t xml:space="preserve"> </w:t>
      </w:r>
      <w:r w:rsidRPr="003A59CF">
        <w:t xml:space="preserve">and as Trustee of the </w:t>
      </w:r>
      <w:r w:rsidRPr="003A59CF">
        <w:tab/>
      </w:r>
      <w:r w:rsidRPr="003A59CF">
        <w:tab/>
        <w:t>§</w:t>
      </w:r>
    </w:p>
    <w:p w:rsidR="00DB673C" w:rsidRPr="003A59CF" w:rsidRDefault="00DB673C" w:rsidP="00FD4548">
      <w:pPr>
        <w:pStyle w:val="LegalHeading"/>
        <w:widowControl w:val="0"/>
        <w:spacing w:line="240" w:lineRule="auto"/>
      </w:pPr>
      <w:r w:rsidRPr="003A59CF">
        <w:t>Carole Ann Brunsting Personal Asset Trust;</w:t>
      </w:r>
      <w:r w:rsidRPr="003A59CF">
        <w:tab/>
        <w:t>§</w:t>
      </w:r>
    </w:p>
    <w:p w:rsidR="00DB673C" w:rsidRPr="003A59CF" w:rsidRDefault="00DB673C" w:rsidP="00FD4548">
      <w:pPr>
        <w:pStyle w:val="LegalHeading"/>
        <w:widowControl w:val="0"/>
        <w:spacing w:line="240" w:lineRule="auto"/>
      </w:pPr>
      <w:proofErr w:type="gramStart"/>
      <w:r w:rsidRPr="003A59CF">
        <w:t>and</w:t>
      </w:r>
      <w:proofErr w:type="gramEnd"/>
      <w:r w:rsidRPr="003A59CF">
        <w:t xml:space="preserve"> as a nominal defendant only,</w:t>
      </w:r>
      <w:r w:rsidRPr="003A59CF">
        <w:tab/>
      </w:r>
      <w:r w:rsidRPr="003A59CF">
        <w:tab/>
        <w:t>§</w:t>
      </w:r>
    </w:p>
    <w:p w:rsidR="00DB673C" w:rsidRPr="003A59CF" w:rsidRDefault="00DB673C" w:rsidP="00FD4548">
      <w:pPr>
        <w:pStyle w:val="LegalHeading"/>
        <w:widowControl w:val="0"/>
        <w:pBdr>
          <w:bottom w:val="single" w:sz="12" w:space="1" w:color="auto"/>
        </w:pBdr>
        <w:spacing w:line="240" w:lineRule="auto"/>
      </w:pPr>
      <w:r w:rsidRPr="003A59CF">
        <w:t>CANDACE LOUISE CURTIS</w:t>
      </w:r>
      <w:r w:rsidRPr="003A59CF">
        <w:tab/>
      </w:r>
      <w:r w:rsidRPr="003A59CF">
        <w:tab/>
        <w:t>§</w:t>
      </w:r>
    </w:p>
    <w:p w:rsidR="00DB673C" w:rsidRDefault="00DB673C" w:rsidP="00FD4548">
      <w:pPr>
        <w:pStyle w:val="Heading1"/>
      </w:pPr>
      <w:r>
        <w:t xml:space="preserve">Answer to Defendant Co-Trustees </w:t>
      </w:r>
      <w:r w:rsidR="00C82ED8">
        <w:t xml:space="preserve">Untimely </w:t>
      </w:r>
      <w:r>
        <w:t xml:space="preserve">Motion </w:t>
      </w:r>
      <w:r w:rsidR="00FF1915">
        <w:t>for</w:t>
      </w:r>
      <w:r w:rsidR="0097130D">
        <w:t xml:space="preserve"> </w:t>
      </w:r>
      <w:r w:rsidR="00280F6F">
        <w:t>Severance</w:t>
      </w:r>
    </w:p>
    <w:p w:rsidR="004E1A6B" w:rsidRDefault="00DB673C" w:rsidP="00FD4548">
      <w:pPr>
        <w:widowControl w:val="0"/>
      </w:pPr>
      <w:r>
        <w:t>On January 6, 2022</w:t>
      </w:r>
      <w:r w:rsidR="00514B18">
        <w:t xml:space="preserve">, almost nine years after case initiation, </w:t>
      </w:r>
      <w:r>
        <w:t>Defendant Co-Trustees Anita Brunsting and Amy Brunsting</w:t>
      </w:r>
      <w:r w:rsidR="00DD647D">
        <w:t xml:space="preserve"> and Independent Executor Carl Brunsting</w:t>
      </w:r>
      <w:r w:rsidR="00514B18">
        <w:t xml:space="preserve"> (the fiduciaries)</w:t>
      </w:r>
      <w:r w:rsidR="00DD647D">
        <w:t xml:space="preserve"> </w:t>
      </w:r>
      <w:r>
        <w:t>filed a</w:t>
      </w:r>
      <w:r w:rsidR="00994103">
        <w:t xml:space="preserve">n extremely vague </w:t>
      </w:r>
      <w:r w:rsidR="00CE7230">
        <w:t xml:space="preserve">and untimely </w:t>
      </w:r>
      <w:r w:rsidR="008D7FAB">
        <w:t>motion;</w:t>
      </w:r>
      <w:r w:rsidR="005D0F64">
        <w:t xml:space="preserve"> apparently</w:t>
      </w:r>
      <w:r w:rsidR="00994103">
        <w:t xml:space="preserve"> seeking refuge is some form of</w:t>
      </w:r>
      <w:r w:rsidR="00DD647D">
        <w:t xml:space="preserve"> case</w:t>
      </w:r>
      <w:r w:rsidR="00994103">
        <w:t xml:space="preserve"> </w:t>
      </w:r>
      <w:r w:rsidR="0097130D">
        <w:t>dissection</w:t>
      </w:r>
      <w:r w:rsidR="00514B18">
        <w:t>.</w:t>
      </w:r>
    </w:p>
    <w:p w:rsidR="00280F6F" w:rsidRDefault="00280F6F" w:rsidP="00FD4548">
      <w:pPr>
        <w:widowControl w:val="0"/>
      </w:pPr>
    </w:p>
    <w:p w:rsidR="004E1A6B" w:rsidRDefault="00994103" w:rsidP="00FD4548">
      <w:pPr>
        <w:pStyle w:val="Quote"/>
        <w:widowControl w:val="0"/>
      </w:pPr>
      <w:r>
        <w:t>“</w:t>
      </w:r>
      <w:r w:rsidR="004E1A6B">
        <w:t xml:space="preserve">Plaintiff, Carl Brunsting, and Defendant/Co-Trustees, Anita Brunsting and Amy Brunsting (collectively the “Severing Parties”), file this motion to sever their respective claims against each other from the above-entitled and </w:t>
      </w:r>
      <w:r w:rsidR="009F5BBF">
        <w:t>numbered cause (the “401 Case”)</w:t>
      </w:r>
      <w:r>
        <w:t>”</w:t>
      </w:r>
    </w:p>
    <w:p w:rsidR="00137D53" w:rsidRDefault="00137D53" w:rsidP="00137D53">
      <w:pPr>
        <w:widowControl w:val="0"/>
      </w:pPr>
      <w:r>
        <w:t>To reveal the ludicrous nature of this notion one</w:t>
      </w:r>
      <w:r w:rsidR="00C82ED8">
        <w:t xml:space="preserve"> should probably begin with </w:t>
      </w:r>
      <w:r w:rsidR="00211BAF">
        <w:t>verifiable facts regarding the litigation chronology</w:t>
      </w:r>
      <w:r w:rsidR="00C82ED8">
        <w:t xml:space="preserve"> and move from there to distinguishing the parties and their respective claims</w:t>
      </w:r>
      <w:r w:rsidR="00211BAF">
        <w:t>.</w:t>
      </w:r>
      <w:r w:rsidR="00C82ED8">
        <w:t xml:space="preserve"> </w:t>
      </w:r>
      <w:r w:rsidR="00211BAF">
        <w:t>The</w:t>
      </w:r>
      <w:r w:rsidR="00703E46">
        <w:t xml:space="preserve"> </w:t>
      </w:r>
      <w:r w:rsidR="00211BAF">
        <w:t>“412,249</w:t>
      </w:r>
      <w:r w:rsidR="00703E46">
        <w:t>-401</w:t>
      </w:r>
      <w:r w:rsidR="00211BAF">
        <w:t>”</w:t>
      </w:r>
      <w:r w:rsidR="00703E46">
        <w:t xml:space="preserve"> case</w:t>
      </w:r>
      <w:r w:rsidR="00901B52">
        <w:t xml:space="preserve"> </w:t>
      </w:r>
      <w:r w:rsidR="003F37FE">
        <w:t xml:space="preserve">that </w:t>
      </w:r>
      <w:r w:rsidR="00901B52">
        <w:t xml:space="preserve">Carl and the Defendant </w:t>
      </w:r>
      <w:r w:rsidR="005D0F64">
        <w:t xml:space="preserve">Co-Trustees </w:t>
      </w:r>
      <w:r w:rsidR="00901B52">
        <w:t xml:space="preserve">want to run away from </w:t>
      </w:r>
      <w:r w:rsidR="00703E46">
        <w:t xml:space="preserve">was filed </w:t>
      </w:r>
      <w:r w:rsidR="003F37FE">
        <w:t xml:space="preserve">in the probate court </w:t>
      </w:r>
      <w:r w:rsidR="00703E46">
        <w:t>by Carl Brunsting on April 9, 2013</w:t>
      </w:r>
      <w:r w:rsidR="00134DD2">
        <w:t xml:space="preserve"> </w:t>
      </w:r>
      <w:r w:rsidR="00DD3744" w:rsidRPr="00DD3744">
        <w:rPr>
          <w:highlight w:val="yellow"/>
        </w:rPr>
        <w:t>[</w:t>
      </w:r>
      <w:r w:rsidR="00134DD2">
        <w:rPr>
          <w:highlight w:val="yellow"/>
        </w:rPr>
        <w:t>1</w:t>
      </w:r>
      <w:r w:rsidR="00DD3744">
        <w:rPr>
          <w:rStyle w:val="FootnoteReference"/>
          <w:highlight w:val="yellow"/>
        </w:rPr>
        <w:footnoteReference w:id="1"/>
      </w:r>
      <w:r w:rsidR="00DD3744" w:rsidRPr="00DD3744">
        <w:rPr>
          <w:highlight w:val="yellow"/>
        </w:rPr>
        <w:t>]</w:t>
      </w:r>
      <w:r>
        <w:t xml:space="preserve"> </w:t>
      </w:r>
      <w:r w:rsidRPr="00137D53">
        <w:t xml:space="preserve">and the fiduciaries seem to have a problem with </w:t>
      </w:r>
      <w:r>
        <w:t>t</w:t>
      </w:r>
      <w:r w:rsidRPr="00137D53">
        <w:t xml:space="preserve">he matter </w:t>
      </w:r>
      <w:r>
        <w:t xml:space="preserve">proceeding </w:t>
      </w:r>
      <w:r w:rsidRPr="00137D53">
        <w:t>to trial.</w:t>
      </w:r>
    </w:p>
    <w:p w:rsidR="003B5D36" w:rsidRDefault="003B5D36" w:rsidP="003B5D36">
      <w:pPr>
        <w:pStyle w:val="Heading2"/>
      </w:pPr>
      <w:r>
        <w:t>The -401 Case Style</w:t>
      </w:r>
    </w:p>
    <w:p w:rsidR="00692179" w:rsidRDefault="0097130D" w:rsidP="00FD4548">
      <w:pPr>
        <w:widowControl w:val="0"/>
      </w:pPr>
      <w:r>
        <w:t xml:space="preserve">The </w:t>
      </w:r>
      <w:r w:rsidR="00134DD2">
        <w:t xml:space="preserve">-401 </w:t>
      </w:r>
      <w:r>
        <w:t xml:space="preserve">case </w:t>
      </w:r>
      <w:r w:rsidR="009C6B7E">
        <w:t>i</w:t>
      </w:r>
      <w:r>
        <w:t>s</w:t>
      </w:r>
      <w:r w:rsidR="00703E46">
        <w:t xml:space="preserve"> styled </w:t>
      </w:r>
      <w:r>
        <w:t xml:space="preserve">as </w:t>
      </w:r>
      <w:r w:rsidR="00703E46">
        <w:t>above</w:t>
      </w:r>
      <w:r w:rsidR="000B37D6">
        <w:t>,</w:t>
      </w:r>
      <w:r w:rsidR="00134DD2">
        <w:t xml:space="preserve"> </w:t>
      </w:r>
      <w:r w:rsidR="00901B52">
        <w:t xml:space="preserve">and not styled </w:t>
      </w:r>
      <w:r w:rsidR="009C70A5">
        <w:t xml:space="preserve">as </w:t>
      </w:r>
      <w:r w:rsidR="00137D53">
        <w:t>the fiduciaries</w:t>
      </w:r>
      <w:r w:rsidR="00901B52">
        <w:t xml:space="preserve"> severance motion</w:t>
      </w:r>
      <w:r w:rsidR="00DD647D">
        <w:t xml:space="preserve"> is styled</w:t>
      </w:r>
      <w:r w:rsidR="00103501">
        <w:t>.</w:t>
      </w:r>
      <w:r w:rsidR="007D6293">
        <w:t xml:space="preserve"> </w:t>
      </w:r>
      <w:r w:rsidR="009C6B7E">
        <w:t>There is no decedents estate and if there is a Carl et al., it would be Carl individually and</w:t>
      </w:r>
      <w:r w:rsidR="00137D53">
        <w:t xml:space="preserve"> Carl the Independent Executor.</w:t>
      </w:r>
    </w:p>
    <w:p w:rsidR="0070029A" w:rsidRDefault="0070029A" w:rsidP="0070029A">
      <w:pPr>
        <w:pStyle w:val="Heading2"/>
      </w:pPr>
      <w:r>
        <w:t>The Parties</w:t>
      </w:r>
    </w:p>
    <w:p w:rsidR="0070029A" w:rsidRDefault="003F37FE" w:rsidP="00FD4548">
      <w:pPr>
        <w:widowControl w:val="0"/>
      </w:pPr>
      <w:r>
        <w:t>The Brunsting trusts were drafted by the law firm of Albert Vacek Jr. which later became Vacek &amp; Freed P.L.L.C.</w:t>
      </w:r>
      <w:r w:rsidR="00C86AC7">
        <w:t xml:space="preserve"> (the “-403 case”)</w:t>
      </w:r>
      <w:r w:rsidR="00B30747">
        <w:t>.</w:t>
      </w:r>
      <w:r>
        <w:t xml:space="preserve"> The federal </w:t>
      </w:r>
      <w:r w:rsidR="00B30747">
        <w:t>breach of fiduciary action</w:t>
      </w:r>
      <w:r>
        <w:t xml:space="preserve"> </w:t>
      </w:r>
      <w:r w:rsidR="00134DD2">
        <w:t xml:space="preserve">(the “-402 case”) </w:t>
      </w:r>
      <w:r>
        <w:t xml:space="preserve">was filed </w:t>
      </w:r>
      <w:r w:rsidR="0070029A">
        <w:t xml:space="preserve">against the Co-trustee Defendants </w:t>
      </w:r>
      <w:r>
        <w:t xml:space="preserve">by trust beneficiary Candace Curtis under diversity jurisdiction on February 27, 2012. </w:t>
      </w:r>
      <w:r w:rsidRPr="0070029A">
        <w:t>Defendant Co-</w:t>
      </w:r>
      <w:r w:rsidR="005D0F64">
        <w:t>T</w:t>
      </w:r>
      <w:r w:rsidRPr="0070029A">
        <w:t xml:space="preserve">rustees appeared represented by Vacek &amp; Freed staff attorney </w:t>
      </w:r>
      <w:r w:rsidRPr="0070029A">
        <w:rPr>
          <w:rFonts w:eastAsiaTheme="minorHAnsi"/>
        </w:rPr>
        <w:t>Bernard Lilse Mathews, III</w:t>
      </w:r>
      <w:r w:rsidR="009C70A5" w:rsidRPr="0070029A">
        <w:rPr>
          <w:rFonts w:eastAsiaTheme="minorHAnsi"/>
        </w:rPr>
        <w:t>,</w:t>
      </w:r>
      <w:r w:rsidRPr="0070029A">
        <w:rPr>
          <w:rFonts w:eastAsiaTheme="minorHAnsi"/>
        </w:rPr>
        <w:t xml:space="preserve"> </w:t>
      </w:r>
      <w:r w:rsidRPr="0070029A">
        <w:rPr>
          <w:rFonts w:ascii="TimesNewRoman" w:eastAsiaTheme="minorHAnsi" w:hAnsi="TimesNewRoman" w:cs="TimesNewRoman"/>
        </w:rPr>
        <w:t>State Bar # 13187450</w:t>
      </w:r>
      <w:r w:rsidR="00B30747" w:rsidRPr="0070029A">
        <w:rPr>
          <w:rFonts w:ascii="TimesNewRoman" w:eastAsiaTheme="minorHAnsi" w:hAnsi="TimesNewRoman" w:cs="TimesNewRoman"/>
        </w:rPr>
        <w:t>,</w:t>
      </w:r>
      <w:r w:rsidRPr="0070029A">
        <w:rPr>
          <w:rFonts w:ascii="TimesNewRoman" w:eastAsiaTheme="minorHAnsi" w:hAnsi="TimesNewRoman" w:cs="TimesNewRoman"/>
        </w:rPr>
        <w:t xml:space="preserve"> who used a </w:t>
      </w:r>
      <w:r w:rsidRPr="0070029A">
        <w:rPr>
          <w:rFonts w:ascii="TimesNewRoman" w:eastAsiaTheme="minorHAnsi" w:hAnsi="TimesNewRoman" w:cs="TimesNewRoman"/>
        </w:rPr>
        <w:lastRenderedPageBreak/>
        <w:t>Green and Mathews firm name in effort to conceal his conflict</w:t>
      </w:r>
      <w:r w:rsidR="0070029A" w:rsidRPr="0070029A">
        <w:rPr>
          <w:rFonts w:ascii="TimesNewRoman" w:eastAsiaTheme="minorHAnsi" w:hAnsi="TimesNewRoman" w:cs="TimesNewRoman"/>
        </w:rPr>
        <w:t>s</w:t>
      </w:r>
      <w:r w:rsidRPr="0070029A">
        <w:rPr>
          <w:rFonts w:ascii="TimesNewRoman" w:eastAsiaTheme="minorHAnsi" w:hAnsi="TimesNewRoman" w:cs="TimesNewRoman"/>
        </w:rPr>
        <w:t xml:space="preserve"> of interest. </w:t>
      </w:r>
      <w:r w:rsidR="00C86AC7" w:rsidRPr="008D7FAB">
        <w:rPr>
          <w:highlight w:val="yellow"/>
        </w:rPr>
        <w:t>[</w:t>
      </w:r>
      <w:r w:rsidR="00134DD2" w:rsidRPr="008D7FAB">
        <w:rPr>
          <w:highlight w:val="yellow"/>
        </w:rPr>
        <w:t>2</w:t>
      </w:r>
      <w:r w:rsidR="00C86AC7" w:rsidRPr="008D7FAB">
        <w:rPr>
          <w:rStyle w:val="FootnoteReference"/>
          <w:highlight w:val="yellow"/>
        </w:rPr>
        <w:footnoteReference w:id="2"/>
      </w:r>
      <w:r w:rsidR="00C86AC7" w:rsidRPr="008D7FAB">
        <w:rPr>
          <w:highlight w:val="yellow"/>
        </w:rPr>
        <w:t>]</w:t>
      </w:r>
      <w:r w:rsidR="00B11AD4">
        <w:t xml:space="preserve"> </w:t>
      </w:r>
    </w:p>
    <w:p w:rsidR="00B11AD4" w:rsidRDefault="003F37FE" w:rsidP="00FD4548">
      <w:pPr>
        <w:widowControl w:val="0"/>
      </w:pPr>
      <w:r>
        <w:rPr>
          <w:rFonts w:ascii="TimesNewRoman" w:eastAsiaTheme="minorHAnsi" w:hAnsi="TimesNewRoman" w:cs="TimesNewRoman"/>
        </w:rPr>
        <w:t xml:space="preserve">The federal case </w:t>
      </w:r>
      <w:r>
        <w:t xml:space="preserve">was dismissed under the probate exception March 8, 2012, </w:t>
      </w:r>
      <w:r w:rsidR="00B30747">
        <w:t xml:space="preserve">but </w:t>
      </w:r>
      <w:r>
        <w:t>reversed and remanded by the Circuit Court January 9, 2013</w:t>
      </w:r>
      <w:r w:rsidR="00B30747">
        <w:t xml:space="preserve"> </w:t>
      </w:r>
      <w:r w:rsidRPr="00134DD2">
        <w:rPr>
          <w:highlight w:val="yellow"/>
        </w:rPr>
        <w:t>[</w:t>
      </w:r>
      <w:r w:rsidR="00134DD2" w:rsidRPr="00134DD2">
        <w:rPr>
          <w:highlight w:val="yellow"/>
        </w:rPr>
        <w:t>3</w:t>
      </w:r>
      <w:r w:rsidRPr="00134DD2">
        <w:rPr>
          <w:rStyle w:val="FootnoteReference"/>
          <w:highlight w:val="yellow"/>
        </w:rPr>
        <w:footnoteReference w:id="3"/>
      </w:r>
      <w:r w:rsidRPr="00134DD2">
        <w:rPr>
          <w:highlight w:val="yellow"/>
        </w:rPr>
        <w:t>]</w:t>
      </w:r>
      <w:r w:rsidR="00B30747">
        <w:t>.</w:t>
      </w:r>
    </w:p>
    <w:p w:rsidR="003662A2" w:rsidRDefault="003662A2" w:rsidP="003662A2">
      <w:pPr>
        <w:pStyle w:val="Heading2"/>
      </w:pPr>
      <w:r>
        <w:t>The -403 Case</w:t>
      </w:r>
    </w:p>
    <w:p w:rsidR="003662A2" w:rsidRDefault="00B30747" w:rsidP="00FD4548">
      <w:pPr>
        <w:widowControl w:val="0"/>
      </w:pPr>
      <w:r>
        <w:t xml:space="preserve">Independent Executor </w:t>
      </w:r>
      <w:r w:rsidR="00C86AC7">
        <w:t xml:space="preserve">Carl Henry Brunsting filed professional negligence claims against the Vacek &amp; Freed estate planning attorneys in Harris </w:t>
      </w:r>
      <w:r>
        <w:t>C</w:t>
      </w:r>
      <w:r w:rsidR="00C86AC7">
        <w:t xml:space="preserve">ounty District Court 164 </w:t>
      </w:r>
      <w:r w:rsidR="00C86AC7" w:rsidRPr="00134DD2">
        <w:rPr>
          <w:highlight w:val="yellow"/>
        </w:rPr>
        <w:t>[</w:t>
      </w:r>
      <w:r w:rsidR="00134DD2" w:rsidRPr="00134DD2">
        <w:rPr>
          <w:highlight w:val="yellow"/>
        </w:rPr>
        <w:t>4</w:t>
      </w:r>
      <w:r w:rsidR="00C86AC7" w:rsidRPr="00134DD2">
        <w:rPr>
          <w:rStyle w:val="FootnoteReference"/>
          <w:highlight w:val="yellow"/>
        </w:rPr>
        <w:footnoteReference w:id="4"/>
      </w:r>
      <w:r w:rsidR="00C86AC7" w:rsidRPr="00134DD2">
        <w:rPr>
          <w:highlight w:val="yellow"/>
        </w:rPr>
        <w:t>]</w:t>
      </w:r>
      <w:r w:rsidR="00C86AC7">
        <w:t xml:space="preserve"> </w:t>
      </w:r>
      <w:r>
        <w:t xml:space="preserve">On January 29, 2013 </w:t>
      </w:r>
      <w:r w:rsidR="00252911">
        <w:t>alleging [P3]:</w:t>
      </w:r>
    </w:p>
    <w:p w:rsidR="00252911" w:rsidRDefault="004F6A64" w:rsidP="00252911">
      <w:pPr>
        <w:pStyle w:val="Quote"/>
        <w:rPr>
          <w:rFonts w:eastAsiaTheme="minorHAnsi"/>
          <w:color w:val="auto"/>
          <w:sz w:val="22"/>
        </w:rPr>
      </w:pPr>
      <w:r>
        <w:t xml:space="preserve">8. </w:t>
      </w:r>
      <w:r w:rsidR="00252911">
        <w:t xml:space="preserve">This is a case involving Defendants' negligence, breach of fiduciary duty and other acts or omissions in their representation of Elmer and N </w:t>
      </w:r>
      <w:proofErr w:type="spellStart"/>
      <w:proofErr w:type="gramStart"/>
      <w:r w:rsidR="00252911">
        <w:t>elva</w:t>
      </w:r>
      <w:proofErr w:type="spellEnd"/>
      <w:proofErr w:type="gramEnd"/>
      <w:r w:rsidR="00252911">
        <w:t xml:space="preserve">, both individually and in their capacities as trustees of the Family Trust. Defendants' actions constitute negligent misrepresentation, negligence per se, deceptive trade practices, conversion, fraud, commercial bribery, breaches of their fiduciary duties, as well as aiding and abetting, assisting and encouraging repeated breaches of </w:t>
      </w:r>
      <w:r w:rsidR="00252911">
        <w:rPr>
          <w:rFonts w:eastAsiaTheme="minorHAnsi"/>
          <w:color w:val="auto"/>
          <w:sz w:val="22"/>
        </w:rPr>
        <w:t xml:space="preserve">fiduciary duty. Alternatively, a conspiracy existed between </w:t>
      </w:r>
      <w:proofErr w:type="gramStart"/>
      <w:r w:rsidR="00252911">
        <w:rPr>
          <w:rFonts w:eastAsiaTheme="minorHAnsi"/>
          <w:color w:val="auto"/>
          <w:sz w:val="22"/>
        </w:rPr>
        <w:t>Defendants,</w:t>
      </w:r>
      <w:proofErr w:type="gramEnd"/>
      <w:r w:rsidR="00252911">
        <w:rPr>
          <w:rFonts w:eastAsiaTheme="minorHAnsi"/>
          <w:color w:val="auto"/>
          <w:sz w:val="22"/>
        </w:rPr>
        <w:t xml:space="preserve"> and the Current Trustees for that unlawful purpose.</w:t>
      </w:r>
    </w:p>
    <w:p w:rsidR="004F6A64" w:rsidRDefault="004F6A64" w:rsidP="004F6A64">
      <w:pPr>
        <w:pStyle w:val="Quote"/>
      </w:pPr>
      <w:r>
        <w:t xml:space="preserve">9. The Defendants assisted the Current Trustees in implementing a scheme to change the terms of the Family Trust, to ultimately remove Nelva from her position as trustee of the Family Trust, and to improperly remove assets from Elmer and N </w:t>
      </w:r>
      <w:proofErr w:type="spellStart"/>
      <w:proofErr w:type="gramStart"/>
      <w:r>
        <w:t>elva</w:t>
      </w:r>
      <w:proofErr w:type="spellEnd"/>
      <w:r>
        <w:t>' s</w:t>
      </w:r>
      <w:proofErr w:type="gramEnd"/>
      <w:r>
        <w:t xml:space="preserve"> estates and from the Family Trust. Because of the actions of the Defendants, the Current Trustees were able to alter Elmer and Nelva's wishes, resulting in the improper transfer of assets to Anita, Amy, and Carole, all to Plaintiffs detriment.</w:t>
      </w:r>
    </w:p>
    <w:p w:rsidR="004F6A64" w:rsidRDefault="004F6A64" w:rsidP="004F6A64">
      <w:pPr>
        <w:pStyle w:val="Quote"/>
      </w:pPr>
      <w:r>
        <w:t xml:space="preserve">10. Despite the Law Firm's representations to Elmer and Nelva that the Family Trust would preserve their plans for their estate, Defendants took direction from the Current Trustees, while representing Nelva, with the result being just the opposite. It is believed that Defendants not only failed to inform Nelva that they had established a relationship with the Current Trustees which put them in a conflict of interest with regard to their representation of Nelva's interests but that </w:t>
      </w:r>
      <w:r>
        <w:lastRenderedPageBreak/>
        <w:t>Defendants actually ignored that conflict of interest and their obligations to Nelva and assisted the Current Trustees in changing the terms of the Family Trust in ways which it is believed that Nelva did not have capacity to change and/or did not understand or want. Defendants also took steps to undermine and even remove Nelva's control of her own assets, of the assets of Elmer's estate, and of the Family Trust assets, thereby placing those assets at risk of loss to Anita, Amy, and Carole and facilitating the loss which actually occurred.</w:t>
      </w:r>
    </w:p>
    <w:p w:rsidR="00252911" w:rsidRDefault="004E4C9B" w:rsidP="009C5CC3">
      <w:pPr>
        <w:pStyle w:val="Quote"/>
      </w:pPr>
      <w:r>
        <w:t xml:space="preserve">11. Moreover, it is believed that Defendants assisted the Current Trustees in various ways intended to prevent Nelva from even understanding that documents were being prepared by Defendants at the Current Trustee's request, why those documents were being prepared, and what </w:t>
      </w:r>
      <w:r>
        <w:rPr>
          <w:rFonts w:eastAsiaTheme="minorHAnsi"/>
          <w:color w:val="auto"/>
          <w:sz w:val="23"/>
          <w:szCs w:val="23"/>
        </w:rPr>
        <w:t xml:space="preserve">the impact of the documents would be. </w:t>
      </w:r>
      <w:r>
        <w:rPr>
          <w:rFonts w:ascii="Arial" w:eastAsiaTheme="minorHAnsi" w:hAnsi="Arial" w:cs="Arial"/>
          <w:color w:val="auto"/>
          <w:sz w:val="21"/>
          <w:szCs w:val="21"/>
        </w:rPr>
        <w:t xml:space="preserve">It </w:t>
      </w:r>
      <w:r>
        <w:rPr>
          <w:rFonts w:eastAsiaTheme="minorHAnsi"/>
          <w:color w:val="auto"/>
          <w:sz w:val="23"/>
          <w:szCs w:val="23"/>
        </w:rPr>
        <w:t>is believed that in assisting the Current Trustees in</w:t>
      </w:r>
      <w:r w:rsidR="009C5CC3">
        <w:rPr>
          <w:rFonts w:eastAsiaTheme="minorHAnsi"/>
          <w:color w:val="auto"/>
          <w:sz w:val="23"/>
          <w:szCs w:val="23"/>
        </w:rPr>
        <w:t xml:space="preserve"> </w:t>
      </w:r>
      <w:r>
        <w:rPr>
          <w:rFonts w:eastAsiaTheme="minorHAnsi"/>
          <w:color w:val="auto"/>
          <w:sz w:val="23"/>
          <w:szCs w:val="23"/>
        </w:rPr>
        <w:t>obtaining their improper objectives, Defendants, among other things</w:t>
      </w:r>
      <w:proofErr w:type="gramStart"/>
      <w:r>
        <w:rPr>
          <w:rFonts w:eastAsiaTheme="minorHAnsi"/>
          <w:color w:val="auto"/>
          <w:sz w:val="23"/>
          <w:szCs w:val="23"/>
        </w:rPr>
        <w:t>:</w:t>
      </w:r>
      <w:r w:rsidR="009C5CC3">
        <w:rPr>
          <w:rFonts w:eastAsiaTheme="minorHAnsi"/>
          <w:color w:val="auto"/>
          <w:sz w:val="23"/>
          <w:szCs w:val="23"/>
        </w:rPr>
        <w:t>…</w:t>
      </w:r>
      <w:proofErr w:type="gramEnd"/>
    </w:p>
    <w:p w:rsidR="00935696" w:rsidRDefault="009C5CC3" w:rsidP="009C5CC3">
      <w:r>
        <w:t xml:space="preserve">After filing civil conspiracy claims against the disloyal estate planning attorneys in District Court, Carl’s counsel </w:t>
      </w:r>
      <w:r w:rsidR="00B30747">
        <w:t>filed the -401 case in probate court 4 on April 9, 2013</w:t>
      </w:r>
      <w:r>
        <w:t>, four days after the independent administration was closed and in direct violation of Section 6.04 and other provisions in the Will prohibiting further action in the probate court.</w:t>
      </w:r>
    </w:p>
    <w:p w:rsidR="009C5CC3" w:rsidRDefault="00935696" w:rsidP="00935696">
      <w:pPr>
        <w:pStyle w:val="Heading2"/>
      </w:pPr>
      <w:r>
        <w:t>Preliminary Injunction</w:t>
      </w:r>
      <w:r w:rsidR="00B30747">
        <w:t xml:space="preserve"> </w:t>
      </w:r>
    </w:p>
    <w:p w:rsidR="00692179" w:rsidRDefault="00935696" w:rsidP="00FD4548">
      <w:pPr>
        <w:widowControl w:val="0"/>
      </w:pPr>
      <w:r>
        <w:t>On</w:t>
      </w:r>
      <w:r w:rsidR="00B30747">
        <w:t xml:space="preserve"> the very same day Carl filed his </w:t>
      </w:r>
      <w:r w:rsidR="00DD3744">
        <w:t xml:space="preserve">-401 </w:t>
      </w:r>
      <w:r w:rsidR="00B30747">
        <w:t xml:space="preserve">claims in the Probate Court, there was a hearing held in the Southern District of Texas on Plaintiff Curtis </w:t>
      </w:r>
      <w:r w:rsidR="00DD3744">
        <w:t xml:space="preserve">pro se </w:t>
      </w:r>
      <w:r w:rsidR="00B30747">
        <w:t xml:space="preserve">motion for preliminary injunction </w:t>
      </w:r>
      <w:r w:rsidR="00B30747" w:rsidRPr="00134DD2">
        <w:rPr>
          <w:highlight w:val="yellow"/>
        </w:rPr>
        <w:t>[</w:t>
      </w:r>
      <w:r w:rsidR="00CD2AFF" w:rsidRPr="00134DD2">
        <w:rPr>
          <w:highlight w:val="yellow"/>
        </w:rPr>
        <w:t>5</w:t>
      </w:r>
      <w:r w:rsidR="00B30747" w:rsidRPr="00134DD2">
        <w:rPr>
          <w:rStyle w:val="FootnoteReference"/>
          <w:highlight w:val="yellow"/>
        </w:rPr>
        <w:footnoteReference w:id="5"/>
      </w:r>
      <w:r w:rsidR="00B30747" w:rsidRPr="00134DD2">
        <w:rPr>
          <w:highlight w:val="yellow"/>
        </w:rPr>
        <w:t>].</w:t>
      </w:r>
      <w:r w:rsidR="00CD2AFF">
        <w:t xml:space="preserve"> The Court issued the preliminary injunction </w:t>
      </w:r>
      <w:r w:rsidR="007F56B6">
        <w:t xml:space="preserve">in open court </w:t>
      </w:r>
      <w:r w:rsidR="009C70A5">
        <w:t xml:space="preserve">and </w:t>
      </w:r>
      <w:r w:rsidR="00CD2AFF">
        <w:t>publish</w:t>
      </w:r>
      <w:r w:rsidR="009C70A5">
        <w:t>ed</w:t>
      </w:r>
      <w:r w:rsidR="00CD2AFF">
        <w:t xml:space="preserve"> a memorandum of the injunction on April 19, 2013 </w:t>
      </w:r>
      <w:r w:rsidR="00CD2AFF" w:rsidRPr="00134DD2">
        <w:rPr>
          <w:highlight w:val="yellow"/>
        </w:rPr>
        <w:t>[6</w:t>
      </w:r>
      <w:r w:rsidR="00CD2AFF" w:rsidRPr="00134DD2">
        <w:rPr>
          <w:rStyle w:val="FootnoteReference"/>
          <w:highlight w:val="yellow"/>
        </w:rPr>
        <w:footnoteReference w:id="6"/>
      </w:r>
      <w:r w:rsidR="00CD2AFF" w:rsidRPr="00134DD2">
        <w:rPr>
          <w:highlight w:val="yellow"/>
        </w:rPr>
        <w:t>]</w:t>
      </w:r>
      <w:r w:rsidR="00CD2AFF">
        <w:t xml:space="preserve">. </w:t>
      </w:r>
      <w:r w:rsidR="00C82ED8">
        <w:t>Due to trustee Anita Brunsting’s failure to produce a proper trust accounting</w:t>
      </w:r>
      <w:r w:rsidR="007F56B6">
        <w:t xml:space="preserve"> after more than two and one half years as trustee,</w:t>
      </w:r>
      <w:r w:rsidR="00C82ED8">
        <w:t xml:space="preserve"> the Federal District Court felt compelled to appoint a Special Master in order to get a handle on the assets </w:t>
      </w:r>
      <w:r w:rsidR="00C82ED8" w:rsidRPr="00134DD2">
        <w:rPr>
          <w:highlight w:val="yellow"/>
        </w:rPr>
        <w:t>[7</w:t>
      </w:r>
      <w:r w:rsidR="00C82ED8" w:rsidRPr="00134DD2">
        <w:rPr>
          <w:rStyle w:val="FootnoteReference"/>
          <w:highlight w:val="yellow"/>
        </w:rPr>
        <w:footnoteReference w:id="7"/>
      </w:r>
      <w:r w:rsidR="00C82ED8" w:rsidRPr="00134DD2">
        <w:rPr>
          <w:highlight w:val="yellow"/>
        </w:rPr>
        <w:t>]</w:t>
      </w:r>
      <w:r w:rsidR="009C70A5">
        <w:t>.</w:t>
      </w:r>
      <w:r w:rsidR="00C82ED8">
        <w:t xml:space="preserve"> </w:t>
      </w:r>
      <w:r w:rsidR="00134DD2">
        <w:t xml:space="preserve">The </w:t>
      </w:r>
      <w:r w:rsidR="00134DD2">
        <w:lastRenderedPageBreak/>
        <w:t xml:space="preserve">Report of Special Master was filed August 8, 2013 </w:t>
      </w:r>
      <w:r w:rsidR="00134DD2" w:rsidRPr="0093474F">
        <w:rPr>
          <w:highlight w:val="yellow"/>
        </w:rPr>
        <w:t>[8</w:t>
      </w:r>
      <w:r w:rsidR="00134DD2" w:rsidRPr="0093474F">
        <w:rPr>
          <w:rStyle w:val="FootnoteReference"/>
          <w:highlight w:val="yellow"/>
        </w:rPr>
        <w:footnoteReference w:id="8"/>
      </w:r>
      <w:r w:rsidR="00134DD2" w:rsidRPr="0093474F">
        <w:rPr>
          <w:highlight w:val="yellow"/>
        </w:rPr>
        <w:t>]</w:t>
      </w:r>
      <w:r w:rsidR="00134DD2">
        <w:t xml:space="preserve"> and hearing was had</w:t>
      </w:r>
      <w:r w:rsidR="0093474F">
        <w:t xml:space="preserve"> September 3, 2013</w:t>
      </w:r>
      <w:r w:rsidR="00134DD2">
        <w:t xml:space="preserve"> </w:t>
      </w:r>
      <w:r w:rsidR="00134DD2" w:rsidRPr="0093474F">
        <w:rPr>
          <w:highlight w:val="yellow"/>
        </w:rPr>
        <w:t>[9</w:t>
      </w:r>
      <w:r w:rsidR="00134DD2" w:rsidRPr="0093474F">
        <w:rPr>
          <w:rStyle w:val="FootnoteReference"/>
          <w:highlight w:val="yellow"/>
        </w:rPr>
        <w:footnoteReference w:id="9"/>
      </w:r>
      <w:r w:rsidR="00134DD2" w:rsidRPr="0093474F">
        <w:rPr>
          <w:highlight w:val="yellow"/>
        </w:rPr>
        <w:t>].</w:t>
      </w:r>
      <w:r w:rsidR="0093474F">
        <w:t xml:space="preserve"> </w:t>
      </w:r>
      <w:r w:rsidR="009D55FE">
        <w:t xml:space="preserve">At this Juncture “NOMINAL DEFENDANT CANDACE CURTIS” will incorporate the </w:t>
      </w:r>
      <w:r w:rsidR="00C71B7E">
        <w:t>S</w:t>
      </w:r>
      <w:r w:rsidR="009D55FE">
        <w:t xml:space="preserve">tatutory Bill of Review </w:t>
      </w:r>
      <w:r w:rsidR="00C71B7E">
        <w:t>(“</w:t>
      </w:r>
      <w:r w:rsidR="009D55FE">
        <w:t>Case 412249-404</w:t>
      </w:r>
      <w:r w:rsidR="00C71B7E">
        <w:t>”)</w:t>
      </w:r>
      <w:r w:rsidR="009D55FE">
        <w:t xml:space="preserve"> </w:t>
      </w:r>
      <w:r w:rsidR="00C71B7E">
        <w:t>by reference as if fully set forth herein [</w:t>
      </w:r>
      <w:r w:rsidR="00C71B7E" w:rsidRPr="00DE4CF0">
        <w:rPr>
          <w:highlight w:val="yellow"/>
        </w:rPr>
        <w:t>10</w:t>
      </w:r>
      <w:r w:rsidR="00C71B7E" w:rsidRPr="00DE4CF0">
        <w:rPr>
          <w:rStyle w:val="FootnoteReference"/>
          <w:highlight w:val="yellow"/>
        </w:rPr>
        <w:footnoteReference w:id="10"/>
      </w:r>
      <w:r w:rsidR="00C71B7E">
        <w:t xml:space="preserve">]. </w:t>
      </w:r>
    </w:p>
    <w:p w:rsidR="00FD4548" w:rsidRDefault="00C71B7E" w:rsidP="00FD4548">
      <w:pPr>
        <w:widowControl w:val="0"/>
      </w:pPr>
      <w:r>
        <w:t xml:space="preserve">In essence, the federal plaintiff’s case was improperly smuggled into this court </w:t>
      </w:r>
      <w:r w:rsidRPr="00DE4CF0">
        <w:rPr>
          <w:highlight w:val="yellow"/>
        </w:rPr>
        <w:t>[11</w:t>
      </w:r>
      <w:r w:rsidR="007D150F" w:rsidRPr="00DE4CF0">
        <w:rPr>
          <w:rStyle w:val="FootnoteReference"/>
          <w:highlight w:val="yellow"/>
        </w:rPr>
        <w:footnoteReference w:id="11"/>
      </w:r>
      <w:r w:rsidRPr="00DE4CF0">
        <w:rPr>
          <w:highlight w:val="yellow"/>
        </w:rPr>
        <w:t>]</w:t>
      </w:r>
      <w:r w:rsidR="0029542F">
        <w:rPr>
          <w:highlight w:val="yellow"/>
        </w:rPr>
        <w:t xml:space="preserve"> by attorney Jason Ostrom. Mediation</w:t>
      </w:r>
      <w:r w:rsidR="007D150F">
        <w:t xml:space="preserve"> was had and the only topic was </w:t>
      </w:r>
      <w:r w:rsidR="0029542F">
        <w:t xml:space="preserve">the </w:t>
      </w:r>
      <w:r w:rsidR="008D7FAB">
        <w:t xml:space="preserve">amount of </w:t>
      </w:r>
      <w:r w:rsidR="007D150F">
        <w:t>attorney</w:t>
      </w:r>
      <w:r w:rsidR="0029542F">
        <w:t>’s</w:t>
      </w:r>
      <w:r w:rsidR="007D150F">
        <w:t xml:space="preserve"> fees</w:t>
      </w:r>
      <w:r w:rsidR="00692179">
        <w:t>. N</w:t>
      </w:r>
      <w:r w:rsidR="007D150F">
        <w:t xml:space="preserve">o offer was received by beneficiary Candace Curtis and shortly thereafter the Mills Shirley Attorneys filed </w:t>
      </w:r>
      <w:r w:rsidR="0029542F">
        <w:t xml:space="preserve">a </w:t>
      </w:r>
      <w:r w:rsidR="007D150F">
        <w:t>motion for leave to withdraw [</w:t>
      </w:r>
      <w:r w:rsidR="007D150F" w:rsidRPr="00DE4CF0">
        <w:rPr>
          <w:highlight w:val="yellow"/>
        </w:rPr>
        <w:t>12</w:t>
      </w:r>
      <w:r w:rsidR="007D150F" w:rsidRPr="00DE4CF0">
        <w:rPr>
          <w:rStyle w:val="FootnoteReference"/>
          <w:highlight w:val="yellow"/>
        </w:rPr>
        <w:footnoteReference w:id="12"/>
      </w:r>
      <w:r w:rsidR="007D150F" w:rsidRPr="00DE4CF0">
        <w:rPr>
          <w:highlight w:val="yellow"/>
        </w:rPr>
        <w:t>].</w:t>
      </w:r>
      <w:r w:rsidR="007D150F">
        <w:t xml:space="preserve"> </w:t>
      </w:r>
    </w:p>
    <w:p w:rsidR="00FD4548" w:rsidRDefault="007D150F" w:rsidP="00FD4548">
      <w:pPr>
        <w:widowControl w:val="0"/>
      </w:pPr>
      <w:r>
        <w:t>Carl resigned as independent executor</w:t>
      </w:r>
      <w:r w:rsidR="0029542F">
        <w:t xml:space="preserve"> February 19, 2015,</w:t>
      </w:r>
      <w:r>
        <w:t xml:space="preserve"> [</w:t>
      </w:r>
      <w:r w:rsidRPr="00DE4CF0">
        <w:rPr>
          <w:highlight w:val="yellow"/>
        </w:rPr>
        <w:t>13</w:t>
      </w:r>
      <w:r w:rsidRPr="00DE4CF0">
        <w:rPr>
          <w:rStyle w:val="FootnoteReference"/>
          <w:highlight w:val="yellow"/>
        </w:rPr>
        <w:footnoteReference w:id="13"/>
      </w:r>
      <w:r w:rsidRPr="00DE4CF0">
        <w:rPr>
          <w:highlight w:val="yellow"/>
        </w:rPr>
        <w:t>]</w:t>
      </w:r>
      <w:r>
        <w:t xml:space="preserve"> </w:t>
      </w:r>
      <w:r w:rsidR="00E977AA">
        <w:t>substituting his wife Drina as attorney in fact</w:t>
      </w:r>
      <w:r w:rsidR="00692179">
        <w:t>. A</w:t>
      </w:r>
      <w:r>
        <w:t xml:space="preserve">n agreed docket control order was </w:t>
      </w:r>
      <w:r w:rsidR="002A4988">
        <w:t>signed</w:t>
      </w:r>
      <w:r>
        <w:t xml:space="preserve"> [</w:t>
      </w:r>
      <w:r w:rsidRPr="00DE4CF0">
        <w:rPr>
          <w:highlight w:val="yellow"/>
        </w:rPr>
        <w:t>14</w:t>
      </w:r>
      <w:r w:rsidR="002A4988" w:rsidRPr="00DE4CF0">
        <w:rPr>
          <w:rStyle w:val="FootnoteReference"/>
          <w:highlight w:val="yellow"/>
        </w:rPr>
        <w:footnoteReference w:id="14"/>
      </w:r>
      <w:r>
        <w:t>]</w:t>
      </w:r>
      <w:r w:rsidR="00692179">
        <w:t>. A</w:t>
      </w:r>
      <w:r w:rsidR="002A4988">
        <w:t>n agreed order to “consolidate cases” [</w:t>
      </w:r>
      <w:r w:rsidR="002A4988" w:rsidRPr="00DE4CF0">
        <w:rPr>
          <w:highlight w:val="yellow"/>
        </w:rPr>
        <w:t>15</w:t>
      </w:r>
      <w:r w:rsidR="002A4988" w:rsidRPr="00DE4CF0">
        <w:rPr>
          <w:rStyle w:val="FootnoteReference"/>
          <w:highlight w:val="yellow"/>
        </w:rPr>
        <w:footnoteReference w:id="15"/>
      </w:r>
      <w:r w:rsidR="002A4988">
        <w:t>]</w:t>
      </w:r>
      <w:r>
        <w:t xml:space="preserve"> </w:t>
      </w:r>
      <w:r w:rsidR="002A4988">
        <w:t xml:space="preserve">was signed, the -402 docket was closed and the federal plaintiff vanished into </w:t>
      </w:r>
      <w:r w:rsidR="00E977AA">
        <w:t xml:space="preserve">Carl’s </w:t>
      </w:r>
      <w:r w:rsidR="002A4988">
        <w:t>-401 case</w:t>
      </w:r>
      <w:r w:rsidR="00E977AA">
        <w:t xml:space="preserve"> where she is a Nominal Defendant only</w:t>
      </w:r>
      <w:r w:rsidR="002A4988">
        <w:t xml:space="preserve">. </w:t>
      </w:r>
      <w:r w:rsidR="00E977AA">
        <w:t xml:space="preserve">When data mining </w:t>
      </w:r>
      <w:r w:rsidR="00DE4CF0">
        <w:t>revealed these events Candace Curtis discharged Ostrom</w:t>
      </w:r>
      <w:r w:rsidR="0029542F">
        <w:t xml:space="preserve"> and o</w:t>
      </w:r>
      <w:r w:rsidR="00FF1915">
        <w:t xml:space="preserve">n June 26, 2015 </w:t>
      </w:r>
      <w:r w:rsidR="00DE4CF0">
        <w:t>Defendant Co-</w:t>
      </w:r>
      <w:r w:rsidR="005D0F64">
        <w:t>T</w:t>
      </w:r>
      <w:r w:rsidR="00DE4CF0">
        <w:t>rustees filed a No-evidence Motion for Summary Judgment [</w:t>
      </w:r>
      <w:r w:rsidR="00DE4CF0" w:rsidRPr="00DE4CF0">
        <w:rPr>
          <w:highlight w:val="yellow"/>
        </w:rPr>
        <w:t>16</w:t>
      </w:r>
      <w:r w:rsidR="00EB7C2C">
        <w:rPr>
          <w:rStyle w:val="FootnoteReference"/>
          <w:highlight w:val="yellow"/>
        </w:rPr>
        <w:footnoteReference w:id="16"/>
      </w:r>
      <w:r w:rsidR="00DE4CF0">
        <w:t>]</w:t>
      </w:r>
      <w:r w:rsidR="00FF1915">
        <w:t xml:space="preserve">. </w:t>
      </w:r>
    </w:p>
    <w:p w:rsidR="0029542F" w:rsidRDefault="00FD4548" w:rsidP="00FD4548">
      <w:pPr>
        <w:widowControl w:val="0"/>
      </w:pPr>
      <w:r>
        <w:t>Illicit wiretap recordings were disseminated by the Mendel law Firm via certified U.S. Mail over the July 4</w:t>
      </w:r>
      <w:r w:rsidRPr="00FD4548">
        <w:rPr>
          <w:vertAlign w:val="superscript"/>
        </w:rPr>
        <w:t>th</w:t>
      </w:r>
      <w:r>
        <w:t xml:space="preserve"> holiday and o</w:t>
      </w:r>
      <w:r w:rsidR="00EB7C2C">
        <w:t>n July 13, 2015 t</w:t>
      </w:r>
      <w:r w:rsidR="00FF1915">
        <w:t xml:space="preserve">he “Severing Parties” both filed notice of </w:t>
      </w:r>
      <w:r w:rsidR="00FF1915">
        <w:lastRenderedPageBreak/>
        <w:t xml:space="preserve">hearing on </w:t>
      </w:r>
      <w:r w:rsidR="00EB7C2C">
        <w:t xml:space="preserve">their respective summary judgment motions </w:t>
      </w:r>
      <w:r w:rsidR="00EB7C2C" w:rsidRPr="00EB7C2C">
        <w:rPr>
          <w:highlight w:val="yellow"/>
        </w:rPr>
        <w:t>[17</w:t>
      </w:r>
      <w:r w:rsidR="00EB7C2C">
        <w:rPr>
          <w:rStyle w:val="FootnoteReference"/>
          <w:highlight w:val="yellow"/>
        </w:rPr>
        <w:footnoteReference w:id="17"/>
      </w:r>
      <w:r w:rsidR="00EB7C2C" w:rsidRPr="00EB7C2C">
        <w:rPr>
          <w:highlight w:val="yellow"/>
        </w:rPr>
        <w:t>] [18</w:t>
      </w:r>
      <w:r w:rsidR="00EB7C2C">
        <w:rPr>
          <w:rStyle w:val="FootnoteReference"/>
          <w:highlight w:val="yellow"/>
        </w:rPr>
        <w:footnoteReference w:id="18"/>
      </w:r>
      <w:r w:rsidR="00EB7C2C" w:rsidRPr="00EB7C2C">
        <w:rPr>
          <w:highlight w:val="yellow"/>
        </w:rPr>
        <w:t>]</w:t>
      </w:r>
      <w:r w:rsidR="00FF1915">
        <w:t xml:space="preserve"> </w:t>
      </w:r>
      <w:r w:rsidR="00EB7C2C">
        <w:t xml:space="preserve">followed by beneficiary Candace Curtis filing her answer </w:t>
      </w:r>
      <w:r w:rsidR="00EB7C2C" w:rsidRPr="00EB7C2C">
        <w:t xml:space="preserve">to </w:t>
      </w:r>
      <w:r w:rsidR="005D0F64">
        <w:t>Defendant co-T</w:t>
      </w:r>
      <w:r w:rsidR="00EB7C2C">
        <w:t>rustees n</w:t>
      </w:r>
      <w:r w:rsidR="00EB7C2C" w:rsidRPr="00EB7C2C">
        <w:t xml:space="preserve">o-evidence motion </w:t>
      </w:r>
      <w:r w:rsidR="00EB7C2C">
        <w:t>with a demand to produce the evidence to be rebutted [</w:t>
      </w:r>
      <w:r w:rsidR="00EB7C2C" w:rsidRPr="00121084">
        <w:rPr>
          <w:highlight w:val="yellow"/>
        </w:rPr>
        <w:t>19</w:t>
      </w:r>
      <w:r w:rsidR="00EB7C2C" w:rsidRPr="00121084">
        <w:rPr>
          <w:rStyle w:val="FootnoteReference"/>
          <w:highlight w:val="yellow"/>
        </w:rPr>
        <w:footnoteReference w:id="19"/>
      </w:r>
      <w:r w:rsidR="00EB7C2C">
        <w:t xml:space="preserve">]. </w:t>
      </w:r>
    </w:p>
    <w:p w:rsidR="00692179" w:rsidRDefault="00FD4548" w:rsidP="00FD4548">
      <w:pPr>
        <w:widowControl w:val="0"/>
      </w:pPr>
      <w:r>
        <w:t>T</w:t>
      </w:r>
      <w:r w:rsidR="00CC0744">
        <w:t>he summary judgement hearing for August 3</w:t>
      </w:r>
      <w:r w:rsidR="00CC0744" w:rsidRPr="00CC0744">
        <w:rPr>
          <w:vertAlign w:val="superscript"/>
        </w:rPr>
        <w:t>rd</w:t>
      </w:r>
      <w:r w:rsidR="00CC0744">
        <w:t xml:space="preserve"> 2015 was suddenly converted into a hearing on an “emergency motion” [</w:t>
      </w:r>
      <w:r w:rsidR="00CC0744" w:rsidRPr="00633D48">
        <w:rPr>
          <w:highlight w:val="yellow"/>
        </w:rPr>
        <w:t>20</w:t>
      </w:r>
      <w:r w:rsidR="00CC0744" w:rsidRPr="00633D48">
        <w:rPr>
          <w:rStyle w:val="FootnoteReference"/>
          <w:highlight w:val="yellow"/>
        </w:rPr>
        <w:footnoteReference w:id="20"/>
      </w:r>
      <w:r w:rsidR="00CC0744">
        <w:t>] for a protective order regard</w:t>
      </w:r>
      <w:r w:rsidR="006010F2">
        <w:t>ing</w:t>
      </w:r>
      <w:r w:rsidR="00CC0744">
        <w:t xml:space="preserve"> the immaterial and otherwise irrelevant</w:t>
      </w:r>
      <w:r w:rsidR="0029542F">
        <w:t xml:space="preserve"> portion of the </w:t>
      </w:r>
      <w:r w:rsidR="00CC0744">
        <w:t>wiretap recordings</w:t>
      </w:r>
      <w:r w:rsidR="0029542F">
        <w:t xml:space="preserve"> that had been disseminated</w:t>
      </w:r>
      <w:r w:rsidR="00CC0744">
        <w:t xml:space="preserve">. </w:t>
      </w:r>
      <w:r w:rsidR="00D53A1C">
        <w:t>There was no pleading as to jurisdiction or venue and h</w:t>
      </w:r>
      <w:r w:rsidR="00C2325D">
        <w:t>earing [</w:t>
      </w:r>
      <w:r w:rsidR="00C2325D" w:rsidRPr="00633D48">
        <w:rPr>
          <w:highlight w:val="yellow"/>
        </w:rPr>
        <w:t>21</w:t>
      </w:r>
      <w:r w:rsidR="00C2325D" w:rsidRPr="00633D48">
        <w:rPr>
          <w:rStyle w:val="FootnoteReference"/>
          <w:highlight w:val="yellow"/>
        </w:rPr>
        <w:footnoteReference w:id="21"/>
      </w:r>
      <w:r w:rsidR="00C2325D">
        <w:t>] was had on the emergency motion rather than on dispositive motions. There was no testimony or mention of relevance and no protective order after hearing was ever issued. After suffering through the “Temporary Administrator” charade [</w:t>
      </w:r>
      <w:r w:rsidR="00C2325D" w:rsidRPr="00633D48">
        <w:rPr>
          <w:highlight w:val="yellow"/>
        </w:rPr>
        <w:t>22</w:t>
      </w:r>
      <w:r w:rsidR="00633D48" w:rsidRPr="00633D48">
        <w:rPr>
          <w:rStyle w:val="FootnoteReference"/>
          <w:highlight w:val="yellow"/>
        </w:rPr>
        <w:footnoteReference w:id="22"/>
      </w:r>
      <w:r w:rsidR="00C2325D">
        <w:t xml:space="preserve">] trust beneficiary Candace Curtis </w:t>
      </w:r>
      <w:r w:rsidR="00633D48">
        <w:t>attempt</w:t>
      </w:r>
      <w:r w:rsidR="006010F2">
        <w:t>ed</w:t>
      </w:r>
      <w:r w:rsidR="00633D48">
        <w:t xml:space="preserve"> to put summary judgement hearings back on the docket </w:t>
      </w:r>
      <w:r w:rsidR="006010F2">
        <w:t xml:space="preserve">but </w:t>
      </w:r>
      <w:r w:rsidR="00633D48">
        <w:t xml:space="preserve">was met with an evasion performance that </w:t>
      </w:r>
      <w:r w:rsidR="00A51D9C">
        <w:t xml:space="preserve">one could see from the eye contact, the body language and </w:t>
      </w:r>
      <w:r w:rsidR="006010F2">
        <w:t xml:space="preserve">the script, that the performance </w:t>
      </w:r>
      <w:r w:rsidR="00692179">
        <w:t xml:space="preserve">was </w:t>
      </w:r>
      <w:r w:rsidR="00633D48">
        <w:t>obviously staged</w:t>
      </w:r>
      <w:r w:rsidR="00A51D9C">
        <w:t xml:space="preserve"> [</w:t>
      </w:r>
      <w:r w:rsidR="00A51D9C" w:rsidRPr="008A7A9A">
        <w:rPr>
          <w:highlight w:val="yellow"/>
        </w:rPr>
        <w:t>23</w:t>
      </w:r>
      <w:r w:rsidR="00A51D9C" w:rsidRPr="008A7A9A">
        <w:rPr>
          <w:rStyle w:val="FootnoteReference"/>
          <w:highlight w:val="yellow"/>
        </w:rPr>
        <w:footnoteReference w:id="23"/>
      </w:r>
      <w:r w:rsidR="00A51D9C">
        <w:t>] in effort to intimidate the pro se into capitulatin</w:t>
      </w:r>
      <w:r w:rsidR="006010F2">
        <w:t>g</w:t>
      </w:r>
      <w:r w:rsidR="00A51D9C">
        <w:t xml:space="preserve"> to the threats and </w:t>
      </w:r>
      <w:r w:rsidR="00280F6F">
        <w:t xml:space="preserve">extraction </w:t>
      </w:r>
      <w:r w:rsidR="00A51D9C">
        <w:t>demands</w:t>
      </w:r>
      <w:r w:rsidR="00D53A1C">
        <w:t>, demands</w:t>
      </w:r>
      <w:r w:rsidR="00A51D9C">
        <w:t xml:space="preserve"> </w:t>
      </w:r>
      <w:r w:rsidR="006010F2">
        <w:t xml:space="preserve">that </w:t>
      </w:r>
      <w:r w:rsidR="00A51D9C">
        <w:t>never appeared on paper until the March 2021 pre settlement negotiation accounting [</w:t>
      </w:r>
      <w:r w:rsidR="00A51D9C" w:rsidRPr="008A7A9A">
        <w:rPr>
          <w:highlight w:val="yellow"/>
        </w:rPr>
        <w:t>24</w:t>
      </w:r>
      <w:r w:rsidR="00A51D9C" w:rsidRPr="008A7A9A">
        <w:rPr>
          <w:rStyle w:val="FootnoteReference"/>
          <w:highlight w:val="yellow"/>
        </w:rPr>
        <w:footnoteReference w:id="24"/>
      </w:r>
      <w:r w:rsidR="00A51D9C">
        <w:t>] and Co-trustee defendant’s counter offer [</w:t>
      </w:r>
      <w:r w:rsidR="00A51D9C" w:rsidRPr="008A7A9A">
        <w:rPr>
          <w:highlight w:val="yellow"/>
        </w:rPr>
        <w:t>25</w:t>
      </w:r>
      <w:r w:rsidR="00A51D9C" w:rsidRPr="008A7A9A">
        <w:rPr>
          <w:rStyle w:val="FootnoteReference"/>
          <w:highlight w:val="yellow"/>
        </w:rPr>
        <w:footnoteReference w:id="25"/>
      </w:r>
      <w:r w:rsidR="00A51D9C">
        <w:t>] were received via email</w:t>
      </w:r>
      <w:r w:rsidR="008A7A9A">
        <w:t>.</w:t>
      </w:r>
      <w:r w:rsidR="00DD647D">
        <w:t xml:space="preserve"> </w:t>
      </w:r>
    </w:p>
    <w:p w:rsidR="0041293E" w:rsidRDefault="001C1C23" w:rsidP="00FD4548">
      <w:pPr>
        <w:widowControl w:val="0"/>
      </w:pPr>
      <w:r>
        <w:t xml:space="preserve">According to the June </w:t>
      </w:r>
      <w:r w:rsidR="00D53A1C">
        <w:t>2021 Docket Control Order</w:t>
      </w:r>
      <w:r w:rsidR="00BA492B">
        <w:t xml:space="preserve"> a</w:t>
      </w:r>
      <w:r w:rsidRPr="001C1C23">
        <w:t xml:space="preserve">ll amendments and supplements </w:t>
      </w:r>
      <w:r>
        <w:t xml:space="preserve">were </w:t>
      </w:r>
      <w:r>
        <w:lastRenderedPageBreak/>
        <w:t xml:space="preserve">to be filed no later than </w:t>
      </w:r>
      <w:r w:rsidRPr="001C1C23">
        <w:t>10/15/2021</w:t>
      </w:r>
      <w:r>
        <w:t xml:space="preserve">. </w:t>
      </w:r>
      <w:r w:rsidR="0041293E">
        <w:t>Beneficiary Candace Curtis filed her addendum on October 15, 2021</w:t>
      </w:r>
      <w:r w:rsidR="00207E3F">
        <w:t>. O</w:t>
      </w:r>
      <w:r>
        <w:t xml:space="preserve">n November 5, 2021 Defendant </w:t>
      </w:r>
      <w:r w:rsidR="005D0F64">
        <w:t xml:space="preserve">Co-Trustees </w:t>
      </w:r>
      <w:r w:rsidR="0041293E">
        <w:t xml:space="preserve">rushed to clutter the record with an </w:t>
      </w:r>
      <w:r>
        <w:t xml:space="preserve">untimely summary judgment motion arguing in Terrorem and entitlement to fees from the trust. </w:t>
      </w:r>
      <w:r w:rsidR="00BA492B">
        <w:t xml:space="preserve">Their in Terrorem claims are not only vague but patently </w:t>
      </w:r>
      <w:r w:rsidR="00D873A0">
        <w:t>ludicrous</w:t>
      </w:r>
      <w:r w:rsidR="0041293E">
        <w:t xml:space="preserve">. A </w:t>
      </w:r>
      <w:r w:rsidR="0041293E" w:rsidRPr="0041293E">
        <w:t xml:space="preserve">beneficiary </w:t>
      </w:r>
      <w:r w:rsidR="0041293E">
        <w:t>s</w:t>
      </w:r>
      <w:r w:rsidR="0041293E" w:rsidRPr="0041293E">
        <w:t>eeking to compel a fiduciary to perform the fiduciary’s duties; seeking redress against a fiduciary for a breach of the fiduciary’s duties; or seeking a judicial construction of a will or trust (§ 112.038)</w:t>
      </w:r>
      <w:r w:rsidR="0041293E">
        <w:t>, cannot be construed to trigger a forfeiture provision</w:t>
      </w:r>
      <w:r w:rsidR="00E75A8D">
        <w:t>;</w:t>
      </w:r>
      <w:r w:rsidR="0041293E">
        <w:t xml:space="preserve"> Texas Trust Code </w:t>
      </w:r>
      <w:r w:rsidR="0041293E" w:rsidRPr="0041293E">
        <w:t>§ 111.0035(b</w:t>
      </w:r>
      <w:proofErr w:type="gramStart"/>
      <w:r w:rsidR="0041293E" w:rsidRPr="0041293E">
        <w:t>)(</w:t>
      </w:r>
      <w:proofErr w:type="gramEnd"/>
      <w:r w:rsidR="0041293E" w:rsidRPr="0041293E">
        <w:t>6)</w:t>
      </w:r>
      <w:r w:rsidR="00207E3F">
        <w:t xml:space="preserve"> and as will be shown</w:t>
      </w:r>
      <w:r w:rsidR="00E75A8D">
        <w:t>,</w:t>
      </w:r>
      <w:r w:rsidR="00207E3F">
        <w:t xml:space="preserve"> these are the </w:t>
      </w:r>
      <w:r w:rsidR="00692179">
        <w:t xml:space="preserve">very </w:t>
      </w:r>
      <w:r w:rsidR="00207E3F">
        <w:t xml:space="preserve">things </w:t>
      </w:r>
      <w:r w:rsidR="00E75A8D">
        <w:t>D</w:t>
      </w:r>
      <w:r w:rsidR="00207E3F">
        <w:t>efendant</w:t>
      </w:r>
      <w:r w:rsidR="00E75A8D">
        <w:t xml:space="preserve"> </w:t>
      </w:r>
      <w:r w:rsidR="005D0F64">
        <w:t xml:space="preserve">Co-Trustees </w:t>
      </w:r>
      <w:r w:rsidR="00207E3F">
        <w:t>claim trigger forfeiture</w:t>
      </w:r>
      <w:r w:rsidR="00692179" w:rsidRPr="00692179">
        <w:t xml:space="preserve"> </w:t>
      </w:r>
      <w:r w:rsidR="00692179">
        <w:t>with no specificity as to the particulars</w:t>
      </w:r>
      <w:r w:rsidR="0041293E">
        <w:t>.</w:t>
      </w:r>
    </w:p>
    <w:p w:rsidR="00BD6470" w:rsidRDefault="00BD6470" w:rsidP="00FD4548">
      <w:pPr>
        <w:widowControl w:val="0"/>
      </w:pPr>
      <w:r>
        <w:t xml:space="preserve">The </w:t>
      </w:r>
      <w:r w:rsidR="00CE7230">
        <w:t xml:space="preserve">core </w:t>
      </w:r>
      <w:r>
        <w:t xml:space="preserve">fact </w:t>
      </w:r>
      <w:r w:rsidR="00207E3F">
        <w:t xml:space="preserve">relevant </w:t>
      </w:r>
      <w:r>
        <w:t xml:space="preserve">in regard to </w:t>
      </w:r>
      <w:r w:rsidR="00E63497">
        <w:t xml:space="preserve">any </w:t>
      </w:r>
      <w:r>
        <w:t xml:space="preserve">dissection </w:t>
      </w:r>
      <w:r w:rsidR="00E63497">
        <w:t xml:space="preserve">of claims </w:t>
      </w:r>
      <w:r>
        <w:t>is that there is only one nucleus of operative facts</w:t>
      </w:r>
      <w:r w:rsidR="00CE7230">
        <w:t>. W</w:t>
      </w:r>
      <w:r>
        <w:t xml:space="preserve">hat is true for any one question </w:t>
      </w:r>
      <w:r w:rsidR="00207E3F">
        <w:t xml:space="preserve">of fact </w:t>
      </w:r>
      <w:r>
        <w:t xml:space="preserve">is </w:t>
      </w:r>
      <w:r w:rsidR="00CE7230">
        <w:t xml:space="preserve">true for the </w:t>
      </w:r>
      <w:r w:rsidR="005D0F64">
        <w:t>Co-Trustees</w:t>
      </w:r>
      <w:r w:rsidR="00207E3F">
        <w:t xml:space="preserve">, </w:t>
      </w:r>
      <w:r w:rsidR="00692179">
        <w:t xml:space="preserve">true for the executor, </w:t>
      </w:r>
      <w:r w:rsidR="00CE7230">
        <w:t xml:space="preserve">true for all of the beneficiaries and </w:t>
      </w:r>
      <w:r>
        <w:t xml:space="preserve">equally true for </w:t>
      </w:r>
      <w:r w:rsidR="00207E3F">
        <w:t xml:space="preserve">the estate planning attorneys. </w:t>
      </w:r>
      <w:r>
        <w:t xml:space="preserve">In sum total the </w:t>
      </w:r>
      <w:r w:rsidR="00207E3F">
        <w:t>motion to sever</w:t>
      </w:r>
      <w:r>
        <w:t xml:space="preserve"> asks that:</w:t>
      </w:r>
    </w:p>
    <w:p w:rsidR="00BD6470" w:rsidRDefault="00BD6470" w:rsidP="00FD4548">
      <w:pPr>
        <w:pStyle w:val="Quote"/>
        <w:widowControl w:val="0"/>
      </w:pPr>
      <w:r>
        <w:t>The Severing Parties request that the Court sever the claims of Plaintiff, Carl Brunsting, against Defendant/Co-Trustees, Anita Brunsting and Amy Brunsting, and those of the Defendant/Co-Trustees against Plaintiff, Carl Brunsting, into a separate cause number, and grant the Severing Parties such other and further relief to which they may be entitled.</w:t>
      </w:r>
    </w:p>
    <w:p w:rsidR="00AA14C8" w:rsidRDefault="00AA14C8" w:rsidP="00AA14C8">
      <w:pPr>
        <w:pStyle w:val="Heading2"/>
      </w:pPr>
      <w:r>
        <w:t>Standing and the Division of claims</w:t>
      </w:r>
    </w:p>
    <w:p w:rsidR="00071084" w:rsidRDefault="002E74A3" w:rsidP="00FD4548">
      <w:pPr>
        <w:widowControl w:val="0"/>
      </w:pPr>
      <w:r>
        <w:t>The first item</w:t>
      </w:r>
      <w:r w:rsidR="00687F23">
        <w:t>s</w:t>
      </w:r>
      <w:r>
        <w:t xml:space="preserve"> at issue </w:t>
      </w:r>
      <w:r w:rsidR="00687F23">
        <w:t>are</w:t>
      </w:r>
      <w:r>
        <w:t xml:space="preserve"> standing and </w:t>
      </w:r>
      <w:r w:rsidR="00687F23">
        <w:t xml:space="preserve">division of </w:t>
      </w:r>
      <w:r>
        <w:t xml:space="preserve">claims. Carl filed </w:t>
      </w:r>
      <w:r w:rsidR="00687F23">
        <w:t xml:space="preserve">tort </w:t>
      </w:r>
      <w:r>
        <w:t>claims in the probate court in two separate persona</w:t>
      </w:r>
      <w:r w:rsidR="00687F23">
        <w:t>, Carl individually and Carl as “independent executor”</w:t>
      </w:r>
      <w:r>
        <w:t xml:space="preserve">. </w:t>
      </w:r>
      <w:r w:rsidR="0041293E">
        <w:t xml:space="preserve">When </w:t>
      </w:r>
      <w:r w:rsidR="00687F23">
        <w:t xml:space="preserve">Carl resigned the office of “independent executor” </w:t>
      </w:r>
      <w:r w:rsidR="0041293E">
        <w:t>he</w:t>
      </w:r>
      <w:r w:rsidR="00687F23">
        <w:t xml:space="preserve"> simultaneous</w:t>
      </w:r>
      <w:r w:rsidR="0041293E">
        <w:t>ly</w:t>
      </w:r>
      <w:r w:rsidR="00687F23">
        <w:t xml:space="preserve"> subst</w:t>
      </w:r>
      <w:r w:rsidR="0041293E">
        <w:t xml:space="preserve">ituted </w:t>
      </w:r>
      <w:r w:rsidR="00687F23">
        <w:t xml:space="preserve">his wife Drina as </w:t>
      </w:r>
      <w:r w:rsidR="0041293E">
        <w:t xml:space="preserve">his </w:t>
      </w:r>
      <w:r w:rsidR="00687F23">
        <w:t xml:space="preserve">attorney in fact. However, Carl’s individual claims have never been bifurcated from </w:t>
      </w:r>
      <w:r w:rsidR="00687F23">
        <w:lastRenderedPageBreak/>
        <w:t>the independent executor’s claims</w:t>
      </w:r>
      <w:r w:rsidR="00071084">
        <w:t xml:space="preserve"> and this substitution </w:t>
      </w:r>
      <w:r w:rsidR="00687F23">
        <w:t xml:space="preserve">raises another obvious issue. If Carl </w:t>
      </w:r>
      <w:r w:rsidR="00207E3F">
        <w:t xml:space="preserve">resigned due to want of </w:t>
      </w:r>
      <w:r w:rsidR="00687F23">
        <w:t xml:space="preserve">capacity how and when did Drina become Carl’s attorney in fact? </w:t>
      </w:r>
    </w:p>
    <w:p w:rsidR="00071084" w:rsidRDefault="002C33A1" w:rsidP="00FD4548">
      <w:pPr>
        <w:widowControl w:val="0"/>
      </w:pPr>
      <w:r>
        <w:t>To help distinguish the various plaintiffs</w:t>
      </w:r>
      <w:r w:rsidR="00EF2C01">
        <w:t xml:space="preserve">, personas, </w:t>
      </w:r>
      <w:r>
        <w:t xml:space="preserve">and </w:t>
      </w:r>
      <w:r w:rsidR="00EF2C01">
        <w:t xml:space="preserve">their respective </w:t>
      </w:r>
      <w:r>
        <w:t>claims</w:t>
      </w:r>
      <w:r w:rsidR="00EF2C01">
        <w:t>,</w:t>
      </w:r>
      <w:r>
        <w:t xml:space="preserve"> one has added sub cause divisions to the -401 </w:t>
      </w:r>
      <w:r w:rsidR="00EF2C01">
        <w:t>case</w:t>
      </w:r>
      <w:r w:rsidR="00F640F4">
        <w:t xml:space="preserve"> beginning with Carl individually (-401.1) and Carl the independent executor (-401.2)</w:t>
      </w:r>
      <w:r>
        <w:t>.</w:t>
      </w:r>
    </w:p>
    <w:p w:rsidR="00C76450" w:rsidRDefault="00DB673C" w:rsidP="00C76450">
      <w:pPr>
        <w:pStyle w:val="Heading1"/>
      </w:pPr>
      <w:r w:rsidRPr="00DE356B">
        <w:t>412,249-401</w:t>
      </w:r>
      <w:r>
        <w:t>.1</w:t>
      </w:r>
    </w:p>
    <w:p w:rsidR="00DB673C" w:rsidRDefault="00DB673C" w:rsidP="00FD4548">
      <w:pPr>
        <w:pStyle w:val="Heading2"/>
        <w:widowControl w:val="0"/>
      </w:pPr>
      <w:r w:rsidRPr="00DE356B">
        <w:t xml:space="preserve"> </w:t>
      </w:r>
      <w:r>
        <w:t xml:space="preserve">Carl Henry Brunsting individually vs </w:t>
      </w:r>
    </w:p>
    <w:p w:rsidR="00E75A8D" w:rsidRDefault="00DB673C" w:rsidP="00FD4548">
      <w:pPr>
        <w:pStyle w:val="NoSpacing"/>
        <w:keepNext w:val="0"/>
        <w:widowControl w:val="0"/>
        <w:numPr>
          <w:ilvl w:val="0"/>
          <w:numId w:val="38"/>
        </w:numPr>
      </w:pPr>
      <w:r w:rsidRPr="009C0271">
        <w:t>ANITA KAY BRUNSTING f/k/a as attorney-in-fact for Nelva E. Brunsting and as Successor Trustee of the Brunsting Family Living Trust, the Elmer H.</w:t>
      </w:r>
      <w:r w:rsidRPr="009C0271">
        <w:tab/>
        <w:t xml:space="preserve"> Brunsting Decedent's Trust, the Nelva E. Brunsting Survivor's Trust the Carl Henry Brunsting Personal Asset Trust, and the Anita Kay Brunsting Personal Asset Trust;</w:t>
      </w:r>
    </w:p>
    <w:p w:rsidR="00E75A8D" w:rsidRDefault="00DB673C" w:rsidP="00FD4548">
      <w:pPr>
        <w:pStyle w:val="NoSpacing"/>
        <w:keepNext w:val="0"/>
        <w:widowControl w:val="0"/>
        <w:numPr>
          <w:ilvl w:val="0"/>
          <w:numId w:val="38"/>
        </w:numPr>
      </w:pPr>
      <w:r w:rsidRPr="00E75A8D">
        <w:t xml:space="preserve">AMY RUTH BRUNSTING f/k/a AMY RUTH TSCHIRHART, individually and as Successor Trustee of the Brunsting Family Living Trust, the Elmer H. Brunsting Decedent’s Trust, the Nelva E. Brunsting Survivor's Trust, the Carl Henry Brunsting Personal Asset Trust, and the Amy Ruth </w:t>
      </w:r>
      <w:proofErr w:type="spellStart"/>
      <w:r w:rsidRPr="00E75A8D">
        <w:t>T</w:t>
      </w:r>
      <w:r w:rsidR="00E75A8D">
        <w:t>schirhart</w:t>
      </w:r>
      <w:proofErr w:type="spellEnd"/>
      <w:r w:rsidR="00E75A8D">
        <w:t xml:space="preserve"> Personal Asset Trust;</w:t>
      </w:r>
    </w:p>
    <w:p w:rsidR="00DB673C" w:rsidRDefault="00DB673C" w:rsidP="00FD4548">
      <w:pPr>
        <w:pStyle w:val="NoSpacing"/>
        <w:keepNext w:val="0"/>
        <w:widowControl w:val="0"/>
        <w:numPr>
          <w:ilvl w:val="0"/>
          <w:numId w:val="38"/>
        </w:numPr>
      </w:pPr>
      <w:r w:rsidRPr="00E75A8D">
        <w:t xml:space="preserve">CAROLE ANN BRUNSTING, Individually and as Trustee of the Carole Ann Brunsting Personal Asset Trust; </w:t>
      </w:r>
    </w:p>
    <w:p w:rsidR="00DB673C" w:rsidRPr="00E75A8D" w:rsidRDefault="00DB673C" w:rsidP="00FD4548">
      <w:pPr>
        <w:pStyle w:val="NoSpacing"/>
        <w:keepNext w:val="0"/>
        <w:widowControl w:val="0"/>
        <w:numPr>
          <w:ilvl w:val="0"/>
          <w:numId w:val="38"/>
        </w:numPr>
      </w:pPr>
      <w:r w:rsidRPr="00E75A8D">
        <w:t>And, as a nominal defendant only, CANDACE LOUISE CURTIS</w:t>
      </w:r>
      <w:r w:rsidRPr="00E75A8D">
        <w:tab/>
      </w:r>
    </w:p>
    <w:p w:rsidR="00DB673C" w:rsidRDefault="00DB673C" w:rsidP="00FD4548">
      <w:pPr>
        <w:pStyle w:val="NumPara1"/>
        <w:widowControl w:val="0"/>
      </w:pPr>
      <w:r w:rsidRPr="00E852A7">
        <w:t xml:space="preserve">Breach of Fiduciary Duties, </w:t>
      </w:r>
    </w:p>
    <w:p w:rsidR="001E089E" w:rsidRDefault="001E089E" w:rsidP="00FD4548">
      <w:pPr>
        <w:pStyle w:val="NumPara1"/>
        <w:widowControl w:val="0"/>
        <w:numPr>
          <w:ilvl w:val="1"/>
          <w:numId w:val="30"/>
        </w:numPr>
      </w:pPr>
      <w:r>
        <w:t xml:space="preserve">there is fiduciary relationship between the plaintiff and defendant; </w:t>
      </w:r>
    </w:p>
    <w:p w:rsidR="001E089E" w:rsidRDefault="001E089E" w:rsidP="00FD4548">
      <w:pPr>
        <w:pStyle w:val="NumPara1"/>
        <w:widowControl w:val="0"/>
        <w:numPr>
          <w:ilvl w:val="1"/>
          <w:numId w:val="30"/>
        </w:numPr>
      </w:pPr>
      <w:r>
        <w:t xml:space="preserve">the defendant breached his fiduciary duty to the plaintiff; and </w:t>
      </w:r>
    </w:p>
    <w:p w:rsidR="001E089E" w:rsidRPr="00E852A7" w:rsidRDefault="001E089E" w:rsidP="00FD4548">
      <w:pPr>
        <w:pStyle w:val="NumPara1"/>
        <w:widowControl w:val="0"/>
        <w:numPr>
          <w:ilvl w:val="1"/>
          <w:numId w:val="30"/>
        </w:numPr>
      </w:pPr>
      <w:proofErr w:type="gramStart"/>
      <w:r>
        <w:t>the</w:t>
      </w:r>
      <w:proofErr w:type="gramEnd"/>
      <w:r>
        <w:t xml:space="preserve"> defendant's breach proximately caused injury to the plaintiff or benefit to the defendant.</w:t>
      </w:r>
    </w:p>
    <w:p w:rsidR="00DB673C" w:rsidRDefault="00DB673C" w:rsidP="00FD4548">
      <w:pPr>
        <w:pStyle w:val="NumPara1"/>
        <w:widowControl w:val="0"/>
      </w:pPr>
      <w:r w:rsidRPr="00E852A7">
        <w:t xml:space="preserve">Conversion, </w:t>
      </w:r>
    </w:p>
    <w:p w:rsidR="001E089E" w:rsidRDefault="001E089E" w:rsidP="00FD4548">
      <w:pPr>
        <w:pStyle w:val="NumPara1"/>
        <w:widowControl w:val="0"/>
        <w:numPr>
          <w:ilvl w:val="1"/>
          <w:numId w:val="30"/>
        </w:numPr>
      </w:pPr>
      <w:r w:rsidRPr="00B0545A">
        <w:t xml:space="preserve">Plaintiff owned, had legal  possession of, or was entitled to possession of the property; </w:t>
      </w:r>
    </w:p>
    <w:p w:rsidR="001E089E" w:rsidRDefault="001E089E" w:rsidP="00FD4548">
      <w:pPr>
        <w:pStyle w:val="NumPara1"/>
        <w:widowControl w:val="0"/>
        <w:numPr>
          <w:ilvl w:val="1"/>
          <w:numId w:val="30"/>
        </w:numPr>
      </w:pPr>
      <w:r w:rsidRPr="00B0545A">
        <w:t xml:space="preserve">Defendant assumed and exercised dominion and control over the property  in an unlawful and unauthorized manner, to the exclusion of and inconsistent with plaintiff's rights; </w:t>
      </w:r>
    </w:p>
    <w:p w:rsidR="001E089E" w:rsidRDefault="001E089E" w:rsidP="00FD4548">
      <w:pPr>
        <w:pStyle w:val="NumPara1"/>
        <w:widowControl w:val="0"/>
        <w:numPr>
          <w:ilvl w:val="1"/>
          <w:numId w:val="30"/>
        </w:numPr>
      </w:pPr>
      <w:r w:rsidRPr="00B0545A">
        <w:t xml:space="preserve">Plaintiff made a demand for the property; </w:t>
      </w:r>
    </w:p>
    <w:p w:rsidR="001E089E" w:rsidRPr="00E852A7" w:rsidRDefault="001E089E" w:rsidP="00FD4548">
      <w:pPr>
        <w:pStyle w:val="NumPara1"/>
        <w:widowControl w:val="0"/>
        <w:numPr>
          <w:ilvl w:val="1"/>
          <w:numId w:val="30"/>
        </w:numPr>
      </w:pPr>
      <w:r w:rsidRPr="00B0545A">
        <w:t>Defendant refused to return the property.</w:t>
      </w:r>
    </w:p>
    <w:p w:rsidR="00DB673C" w:rsidRDefault="001E089E" w:rsidP="00FD4548">
      <w:pPr>
        <w:pStyle w:val="NumPara1"/>
        <w:widowControl w:val="0"/>
      </w:pPr>
      <w:r>
        <w:t>Negligence,</w:t>
      </w:r>
    </w:p>
    <w:p w:rsidR="001E089E" w:rsidRDefault="001E089E" w:rsidP="00FD4548">
      <w:pPr>
        <w:pStyle w:val="NumPara1"/>
        <w:widowControl w:val="0"/>
        <w:numPr>
          <w:ilvl w:val="1"/>
          <w:numId w:val="30"/>
        </w:numPr>
      </w:pPr>
      <w:r>
        <w:t xml:space="preserve">Duty owed by defendant to plaintiff; </w:t>
      </w:r>
    </w:p>
    <w:p w:rsidR="001E089E" w:rsidRDefault="001E089E" w:rsidP="00FD4548">
      <w:pPr>
        <w:pStyle w:val="NumPara1"/>
        <w:widowControl w:val="0"/>
        <w:numPr>
          <w:ilvl w:val="1"/>
          <w:numId w:val="30"/>
        </w:numPr>
      </w:pPr>
      <w:r>
        <w:t xml:space="preserve">Breach of that duty; </w:t>
      </w:r>
    </w:p>
    <w:p w:rsidR="001E089E" w:rsidRDefault="001E089E" w:rsidP="00FD4548">
      <w:pPr>
        <w:pStyle w:val="NumPara1"/>
        <w:widowControl w:val="0"/>
        <w:numPr>
          <w:ilvl w:val="1"/>
          <w:numId w:val="30"/>
        </w:numPr>
      </w:pPr>
      <w:r>
        <w:lastRenderedPageBreak/>
        <w:t xml:space="preserve">Proximate cause of the plaintiff's damages by defendant's breach; and </w:t>
      </w:r>
    </w:p>
    <w:p w:rsidR="001E089E" w:rsidRPr="00E852A7" w:rsidRDefault="001E089E" w:rsidP="00FD4548">
      <w:pPr>
        <w:pStyle w:val="NumPara1"/>
        <w:widowControl w:val="0"/>
        <w:numPr>
          <w:ilvl w:val="1"/>
          <w:numId w:val="30"/>
        </w:numPr>
      </w:pPr>
      <w:r>
        <w:t>Damages.  </w:t>
      </w:r>
    </w:p>
    <w:p w:rsidR="001E089E" w:rsidRDefault="00DB673C" w:rsidP="00FD4548">
      <w:pPr>
        <w:pStyle w:val="NumPara1"/>
        <w:widowControl w:val="0"/>
      </w:pPr>
      <w:r w:rsidRPr="00E852A7">
        <w:t>Civil Conspiracy,</w:t>
      </w:r>
    </w:p>
    <w:p w:rsidR="001E089E" w:rsidRDefault="001E089E" w:rsidP="00FD4548">
      <w:pPr>
        <w:pStyle w:val="NumPara1"/>
        <w:widowControl w:val="0"/>
        <w:numPr>
          <w:ilvl w:val="1"/>
          <w:numId w:val="30"/>
        </w:numPr>
      </w:pPr>
      <w:r w:rsidRPr="00B0545A">
        <w:t xml:space="preserve">a combination of two or more persons; </w:t>
      </w:r>
    </w:p>
    <w:p w:rsidR="001E089E" w:rsidRDefault="001E089E" w:rsidP="00FD4548">
      <w:pPr>
        <w:pStyle w:val="NumPara1"/>
        <w:widowControl w:val="0"/>
        <w:numPr>
          <w:ilvl w:val="1"/>
          <w:numId w:val="30"/>
        </w:numPr>
      </w:pPr>
      <w:r w:rsidRPr="00B0545A">
        <w:t>the persons seek to accomplish an object or course of action;</w:t>
      </w:r>
    </w:p>
    <w:p w:rsidR="001E089E" w:rsidRDefault="001E089E" w:rsidP="00FD4548">
      <w:pPr>
        <w:pStyle w:val="NumPara1"/>
        <w:widowControl w:val="0"/>
        <w:numPr>
          <w:ilvl w:val="1"/>
          <w:numId w:val="30"/>
        </w:numPr>
      </w:pPr>
      <w:r w:rsidRPr="00B0545A">
        <w:t>the persons reach a meeting of the minds on the object or course of action;</w:t>
      </w:r>
    </w:p>
    <w:p w:rsidR="001E089E" w:rsidRDefault="001E089E" w:rsidP="00FD4548">
      <w:pPr>
        <w:pStyle w:val="NumPara1"/>
        <w:widowControl w:val="0"/>
        <w:numPr>
          <w:ilvl w:val="1"/>
          <w:numId w:val="30"/>
        </w:numPr>
      </w:pPr>
      <w:r w:rsidRPr="00B0545A">
        <w:t>one or more unlawful, overt acts are taken in pursuance of the object or course of action; and</w:t>
      </w:r>
    </w:p>
    <w:p w:rsidR="00DB673C" w:rsidRPr="00E852A7" w:rsidRDefault="001E089E" w:rsidP="00FD4548">
      <w:pPr>
        <w:pStyle w:val="NumPara1"/>
        <w:widowControl w:val="0"/>
        <w:numPr>
          <w:ilvl w:val="1"/>
          <w:numId w:val="30"/>
        </w:numPr>
      </w:pPr>
      <w:r w:rsidRPr="00B0545A">
        <w:t>Damages occur as a proximate result.</w:t>
      </w:r>
      <w:r w:rsidR="00DB673C" w:rsidRPr="00E852A7">
        <w:t xml:space="preserve"> </w:t>
      </w:r>
    </w:p>
    <w:p w:rsidR="001E089E" w:rsidRDefault="00DB673C" w:rsidP="00FD4548">
      <w:pPr>
        <w:pStyle w:val="NumPara1"/>
        <w:widowControl w:val="0"/>
      </w:pPr>
      <w:r w:rsidRPr="00E852A7">
        <w:t>Fraudulent Concealment</w:t>
      </w:r>
    </w:p>
    <w:p w:rsidR="001E089E" w:rsidRPr="00E852A7" w:rsidRDefault="001E089E" w:rsidP="00FD4548">
      <w:pPr>
        <w:pStyle w:val="NumPara1"/>
        <w:widowControl w:val="0"/>
        <w:numPr>
          <w:ilvl w:val="1"/>
          <w:numId w:val="30"/>
        </w:numPr>
      </w:pPr>
      <w:r>
        <w:t>Generally a theory applied to statutes of limitations in fraud cases. Given limitations are not at issue here</w:t>
      </w:r>
      <w:r w:rsidR="008B286F">
        <w:t xml:space="preserve">, this cause </w:t>
      </w:r>
      <w:r>
        <w:t xml:space="preserve">would simply mean breach of the fiduciary duty of full disclosure </w:t>
      </w:r>
      <w:r w:rsidR="008B286F">
        <w:t xml:space="preserve">in conjunction </w:t>
      </w:r>
      <w:r>
        <w:t xml:space="preserve">with the object </w:t>
      </w:r>
      <w:r w:rsidRPr="00B0545A">
        <w:t>or course of action</w:t>
      </w:r>
      <w:r>
        <w:t xml:space="preserve"> in the civil conspiracy.  </w:t>
      </w:r>
    </w:p>
    <w:p w:rsidR="00314FAC" w:rsidRPr="00E852A7" w:rsidRDefault="00314FAC" w:rsidP="00FD4548">
      <w:pPr>
        <w:pStyle w:val="Heading3"/>
        <w:widowControl w:val="0"/>
      </w:pPr>
      <w:r>
        <w:t>THE OTHER CLAIMS ARE REMEDIAL</w:t>
      </w:r>
    </w:p>
    <w:p w:rsidR="00314FAC" w:rsidRDefault="00314FAC" w:rsidP="00FD4548">
      <w:pPr>
        <w:pStyle w:val="NumPara1"/>
        <w:widowControl w:val="0"/>
      </w:pPr>
      <w:r w:rsidRPr="008B286F">
        <w:rPr>
          <w:strike/>
        </w:rPr>
        <w:t>Tortuous Interference with Inheritance</w:t>
      </w:r>
      <w:r w:rsidRPr="00E852A7">
        <w:t>,</w:t>
      </w:r>
    </w:p>
    <w:p w:rsidR="00314FAC" w:rsidRDefault="00314FAC" w:rsidP="00FD4548">
      <w:pPr>
        <w:pStyle w:val="NumPara1"/>
        <w:widowControl w:val="0"/>
        <w:numPr>
          <w:ilvl w:val="1"/>
          <w:numId w:val="30"/>
        </w:numPr>
      </w:pPr>
      <w:r>
        <w:t>Texas does not recognize this cause</w:t>
      </w:r>
      <w:r w:rsidRPr="00E852A7">
        <w:t xml:space="preserve"> </w:t>
      </w:r>
      <w:r w:rsidRPr="00314FAC">
        <w:t>Archer v. Anderson, 556 S.W.3d 228, 239 (Tex. 2018)</w:t>
      </w:r>
    </w:p>
    <w:p w:rsidR="001E089E" w:rsidRPr="00E852A7" w:rsidRDefault="001E089E" w:rsidP="00FD4548">
      <w:pPr>
        <w:pStyle w:val="NumPara1"/>
        <w:widowControl w:val="0"/>
      </w:pPr>
      <w:r w:rsidRPr="00E852A7">
        <w:t xml:space="preserve">Constructive Trust, </w:t>
      </w:r>
    </w:p>
    <w:p w:rsidR="001E089E" w:rsidRPr="00E852A7" w:rsidRDefault="001E089E" w:rsidP="00FD4548">
      <w:pPr>
        <w:pStyle w:val="NumPara1"/>
        <w:widowControl w:val="0"/>
      </w:pPr>
      <w:r w:rsidRPr="00E852A7">
        <w:t xml:space="preserve">Construction of Trust and Suit for Declaratory Judgement, </w:t>
      </w:r>
    </w:p>
    <w:p w:rsidR="001E089E" w:rsidRPr="00E852A7" w:rsidRDefault="001E089E" w:rsidP="00FD4548">
      <w:pPr>
        <w:pStyle w:val="NumPara1"/>
        <w:widowControl w:val="0"/>
      </w:pPr>
      <w:r w:rsidRPr="00E852A7">
        <w:t xml:space="preserve">Demand for Trust Accounting, </w:t>
      </w:r>
    </w:p>
    <w:p w:rsidR="00DB673C" w:rsidRPr="00E852A7" w:rsidRDefault="00DB673C" w:rsidP="00FD4548">
      <w:pPr>
        <w:pStyle w:val="NumPara1"/>
        <w:widowControl w:val="0"/>
      </w:pPr>
      <w:r w:rsidRPr="00E852A7">
        <w:t xml:space="preserve">Prejudgment Interest </w:t>
      </w:r>
    </w:p>
    <w:p w:rsidR="00DB673C" w:rsidRPr="00FC46BC" w:rsidRDefault="00DB673C" w:rsidP="00FD4548">
      <w:pPr>
        <w:pStyle w:val="NumPara1"/>
        <w:widowControl w:val="0"/>
      </w:pPr>
      <w:r w:rsidRPr="00E852A7">
        <w:t>Attorney’s Fees pursuant to Chapters 37 of the Texas Civil Practice and Remedies Code and Chapter 115 of the Texas Property Code.</w:t>
      </w:r>
    </w:p>
    <w:p w:rsidR="008B286F" w:rsidRDefault="00D2774A" w:rsidP="00D83E65">
      <w:pPr>
        <w:pStyle w:val="Heading4"/>
      </w:pPr>
      <w:r>
        <w:br/>
      </w:r>
      <w:r w:rsidR="008B286F">
        <w:t>Breach of Fiduciary Duties</w:t>
      </w:r>
    </w:p>
    <w:p w:rsidR="008B286F" w:rsidRDefault="008B286F" w:rsidP="008B286F">
      <w:pPr>
        <w:pStyle w:val="NumPara1"/>
        <w:widowControl w:val="0"/>
        <w:numPr>
          <w:ilvl w:val="0"/>
          <w:numId w:val="0"/>
        </w:numPr>
        <w:ind w:left="360"/>
      </w:pPr>
      <w:r>
        <w:t>Anita (-401.1(a)) as a co-trustee is a fiduciary owing obligations to trust beneficiaries Amy, Anita, Carl, Carole and Candace.</w:t>
      </w:r>
    </w:p>
    <w:p w:rsidR="008B286F" w:rsidRDefault="008B286F" w:rsidP="008B286F">
      <w:pPr>
        <w:pStyle w:val="NumPara1"/>
        <w:widowControl w:val="0"/>
        <w:numPr>
          <w:ilvl w:val="0"/>
          <w:numId w:val="0"/>
        </w:numPr>
        <w:ind w:left="360"/>
      </w:pPr>
    </w:p>
    <w:p w:rsidR="008B286F" w:rsidRDefault="008B286F" w:rsidP="008B286F">
      <w:pPr>
        <w:pStyle w:val="NumPara1"/>
        <w:widowControl w:val="0"/>
        <w:numPr>
          <w:ilvl w:val="0"/>
          <w:numId w:val="0"/>
        </w:numPr>
        <w:ind w:left="360"/>
      </w:pPr>
      <w:r>
        <w:t>Amy (-401.1(b)) as a co-trustee is a fiduciary owing obligations to trust beneficiaries Amy, Anita, Carl, Carole and Candace.</w:t>
      </w:r>
    </w:p>
    <w:p w:rsidR="008B286F" w:rsidRDefault="008B286F" w:rsidP="008B286F">
      <w:pPr>
        <w:pStyle w:val="NumPara1"/>
        <w:widowControl w:val="0"/>
        <w:numPr>
          <w:ilvl w:val="0"/>
          <w:numId w:val="0"/>
        </w:numPr>
        <w:ind w:left="360"/>
      </w:pPr>
    </w:p>
    <w:p w:rsidR="008B286F" w:rsidRDefault="008B286F" w:rsidP="008B286F">
      <w:pPr>
        <w:pStyle w:val="NumPara1"/>
        <w:widowControl w:val="0"/>
        <w:numPr>
          <w:ilvl w:val="0"/>
          <w:numId w:val="0"/>
        </w:numPr>
        <w:ind w:left="360"/>
      </w:pPr>
      <w:r>
        <w:t>Independent Executor Carl owes fiduciary obligations to the Decedent and the Decedent’s devisee, the family trust, and by necessary implication to trust beneficiaries Amy, Anita, Carl, Carole and Candace.</w:t>
      </w:r>
    </w:p>
    <w:p w:rsidR="008B286F" w:rsidRDefault="008B286F" w:rsidP="008B286F">
      <w:pPr>
        <w:pStyle w:val="NumPara1"/>
        <w:widowControl w:val="0"/>
        <w:numPr>
          <w:ilvl w:val="0"/>
          <w:numId w:val="0"/>
        </w:numPr>
        <w:ind w:left="360"/>
      </w:pPr>
    </w:p>
    <w:p w:rsidR="00D83E65" w:rsidRDefault="008B286F" w:rsidP="008B286F">
      <w:pPr>
        <w:pStyle w:val="NumPara1"/>
        <w:widowControl w:val="0"/>
        <w:numPr>
          <w:ilvl w:val="0"/>
          <w:numId w:val="0"/>
        </w:numPr>
        <w:ind w:left="360"/>
      </w:pPr>
      <w:r>
        <w:t xml:space="preserve">Carole </w:t>
      </w:r>
      <w:r w:rsidR="003523A7">
        <w:t>is</w:t>
      </w:r>
      <w:r>
        <w:t xml:space="preserve"> not </w:t>
      </w:r>
      <w:r w:rsidR="003523A7">
        <w:t xml:space="preserve">a </w:t>
      </w:r>
      <w:r>
        <w:t>fiduciar</w:t>
      </w:r>
      <w:r w:rsidR="003523A7">
        <w:t>y</w:t>
      </w:r>
      <w:r>
        <w:t xml:space="preserve"> and owe</w:t>
      </w:r>
      <w:r w:rsidR="003523A7">
        <w:t>s</w:t>
      </w:r>
      <w:r>
        <w:t xml:space="preserve"> no fiduciary obligations to Carl. </w:t>
      </w:r>
    </w:p>
    <w:p w:rsidR="00D83E65" w:rsidRDefault="00D83E65" w:rsidP="008B286F">
      <w:pPr>
        <w:pStyle w:val="NumPara1"/>
        <w:widowControl w:val="0"/>
        <w:numPr>
          <w:ilvl w:val="0"/>
          <w:numId w:val="0"/>
        </w:numPr>
        <w:ind w:left="360"/>
      </w:pPr>
    </w:p>
    <w:p w:rsidR="00D83E65" w:rsidRDefault="00D83E65" w:rsidP="00D83E65">
      <w:pPr>
        <w:pStyle w:val="Heading4"/>
      </w:pPr>
      <w:r w:rsidRPr="00E852A7">
        <w:t xml:space="preserve">Conversion, </w:t>
      </w:r>
    </w:p>
    <w:p w:rsidR="008B286F" w:rsidRDefault="00D83E65" w:rsidP="008B286F">
      <w:pPr>
        <w:pStyle w:val="NumPara1"/>
        <w:widowControl w:val="0"/>
        <w:numPr>
          <w:ilvl w:val="0"/>
          <w:numId w:val="0"/>
        </w:numPr>
        <w:ind w:left="360"/>
      </w:pPr>
      <w:r>
        <w:t xml:space="preserve">Candace and Carole have never been in possession, </w:t>
      </w:r>
      <w:r w:rsidRPr="00D83E65">
        <w:t xml:space="preserve">assumed </w:t>
      </w:r>
      <w:r>
        <w:t>control or</w:t>
      </w:r>
      <w:r w:rsidRPr="00D83E65">
        <w:t xml:space="preserve"> exercised dominion</w:t>
      </w:r>
      <w:r>
        <w:t xml:space="preserve"> over any</w:t>
      </w:r>
      <w:r w:rsidRPr="00D83E65">
        <w:t xml:space="preserve"> property </w:t>
      </w:r>
      <w:r>
        <w:t>belonging to Carl.</w:t>
      </w:r>
    </w:p>
    <w:p w:rsidR="003523A7" w:rsidRDefault="003523A7" w:rsidP="008B286F">
      <w:pPr>
        <w:pStyle w:val="NumPara1"/>
        <w:widowControl w:val="0"/>
        <w:numPr>
          <w:ilvl w:val="0"/>
          <w:numId w:val="0"/>
        </w:numPr>
        <w:ind w:left="360"/>
      </w:pPr>
    </w:p>
    <w:p w:rsidR="003523A7" w:rsidRDefault="003523A7" w:rsidP="003523A7">
      <w:pPr>
        <w:pStyle w:val="Heading4"/>
      </w:pPr>
      <w:r>
        <w:t>Negligence</w:t>
      </w:r>
    </w:p>
    <w:p w:rsidR="003523A7" w:rsidRDefault="003523A7" w:rsidP="008B286F">
      <w:pPr>
        <w:pStyle w:val="NumPara1"/>
        <w:widowControl w:val="0"/>
        <w:numPr>
          <w:ilvl w:val="0"/>
          <w:numId w:val="0"/>
        </w:numPr>
        <w:ind w:left="360"/>
      </w:pPr>
      <w:r>
        <w:t xml:space="preserve">Candace and Carole owe no duties to Carl and </w:t>
      </w:r>
      <w:proofErr w:type="gramStart"/>
      <w:r>
        <w:t>carl</w:t>
      </w:r>
      <w:proofErr w:type="gramEnd"/>
      <w:r>
        <w:t xml:space="preserve"> has identified no duties owed by Candace or Carole in relation to any of his claims.  </w:t>
      </w:r>
    </w:p>
    <w:p w:rsidR="008B286F" w:rsidRDefault="008B286F" w:rsidP="008B286F">
      <w:pPr>
        <w:pStyle w:val="NumPara1"/>
        <w:widowControl w:val="0"/>
        <w:numPr>
          <w:ilvl w:val="0"/>
          <w:numId w:val="0"/>
        </w:numPr>
        <w:ind w:left="360"/>
      </w:pPr>
      <w:r>
        <w:t xml:space="preserve"> </w:t>
      </w:r>
    </w:p>
    <w:p w:rsidR="00D2774A" w:rsidRDefault="00D83E65" w:rsidP="00D83E65">
      <w:pPr>
        <w:pStyle w:val="Heading4"/>
      </w:pPr>
      <w:r>
        <w:t>Civil Conspiracy</w:t>
      </w:r>
    </w:p>
    <w:p w:rsidR="00D83E65" w:rsidRPr="00D83E65" w:rsidRDefault="003523A7" w:rsidP="00D83E65">
      <w:r w:rsidRPr="003523A7">
        <w:t>Civil conspiracy is not an independent tort, but rather, a theory of vicarious liability which requires some underlying wrong.</w:t>
      </w:r>
      <w:r w:rsidR="00FD75BA">
        <w:t xml:space="preserve"> </w:t>
      </w:r>
    </w:p>
    <w:p w:rsidR="00D2774A" w:rsidRDefault="00FD75BA" w:rsidP="003523A7">
      <w:pPr>
        <w:pStyle w:val="Heading4"/>
      </w:pPr>
      <w:r>
        <w:t>Fraudulent Concealment</w:t>
      </w:r>
    </w:p>
    <w:p w:rsidR="008B286F" w:rsidRDefault="003523A7" w:rsidP="003523A7">
      <w:r>
        <w:t>Carl only plead this in regard to statutes of limitations</w:t>
      </w:r>
    </w:p>
    <w:p w:rsidR="003523A7" w:rsidRDefault="003523A7">
      <w:pPr>
        <w:spacing w:before="0" w:after="0" w:line="240" w:lineRule="auto"/>
        <w:ind w:firstLine="0"/>
        <w:rPr>
          <w:rFonts w:cstheme="majorBidi"/>
          <w:b/>
          <w:bCs/>
          <w:sz w:val="26"/>
          <w:szCs w:val="26"/>
        </w:rPr>
      </w:pPr>
    </w:p>
    <w:p w:rsidR="003523A7" w:rsidRDefault="003523A7">
      <w:pPr>
        <w:spacing w:before="0" w:after="0" w:line="240" w:lineRule="auto"/>
        <w:ind w:firstLine="0"/>
        <w:rPr>
          <w:rFonts w:cstheme="majorBidi"/>
          <w:b/>
          <w:bCs/>
          <w:sz w:val="26"/>
          <w:szCs w:val="26"/>
        </w:rPr>
      </w:pPr>
    </w:p>
    <w:p w:rsidR="00AA14C8" w:rsidRDefault="00AA14C8">
      <w:pPr>
        <w:spacing w:before="0" w:after="0" w:line="240" w:lineRule="auto"/>
        <w:ind w:firstLine="0"/>
        <w:rPr>
          <w:rFonts w:cstheme="majorBidi"/>
          <w:b/>
          <w:bCs/>
          <w:sz w:val="26"/>
          <w:szCs w:val="26"/>
        </w:rPr>
      </w:pPr>
      <w:r>
        <w:br w:type="page"/>
      </w:r>
    </w:p>
    <w:p w:rsidR="00C76450" w:rsidRDefault="00DB673C" w:rsidP="00C76450">
      <w:pPr>
        <w:pStyle w:val="Heading1"/>
      </w:pPr>
      <w:r w:rsidRPr="00DE356B">
        <w:lastRenderedPageBreak/>
        <w:t>412,249-401</w:t>
      </w:r>
      <w:r>
        <w:t>.2</w:t>
      </w:r>
      <w:r w:rsidRPr="00DE356B">
        <w:t xml:space="preserve"> </w:t>
      </w:r>
    </w:p>
    <w:p w:rsidR="00DB673C" w:rsidRDefault="00DB673C" w:rsidP="00FD4548">
      <w:pPr>
        <w:pStyle w:val="Heading2"/>
        <w:widowControl w:val="0"/>
      </w:pPr>
      <w:r>
        <w:t>Independent Executor</w:t>
      </w:r>
      <w:r w:rsidR="00E75A8D">
        <w:t xml:space="preserve"> Carl Brunsting </w:t>
      </w:r>
      <w:r>
        <w:t>vs</w:t>
      </w:r>
    </w:p>
    <w:p w:rsidR="00DD647D" w:rsidRDefault="00DD647D" w:rsidP="00FD4548">
      <w:pPr>
        <w:pStyle w:val="NoSpacing"/>
        <w:keepNext w:val="0"/>
        <w:widowControl w:val="0"/>
        <w:numPr>
          <w:ilvl w:val="0"/>
          <w:numId w:val="46"/>
        </w:numPr>
      </w:pPr>
      <w:r w:rsidRPr="009C0271">
        <w:t>ANITA KAY BRUNSTING f/k/a as attorney-in-fact for Nelva E. Brunsting and as Successor Trustee of the Brunsting Family Living Trust, the Elmer H.</w:t>
      </w:r>
      <w:r w:rsidRPr="009C0271">
        <w:tab/>
        <w:t xml:space="preserve"> Brunsting Decedent's Trust, the Nelva E. Brunsting Survivor's Trust the Carl Henry Brunsting Personal Asset Trust, and the Anita Kay Brunsting Personal Asset Trust;</w:t>
      </w:r>
    </w:p>
    <w:p w:rsidR="00DD647D" w:rsidRDefault="00DD647D" w:rsidP="00FD4548">
      <w:pPr>
        <w:pStyle w:val="NoSpacing"/>
        <w:keepNext w:val="0"/>
        <w:widowControl w:val="0"/>
        <w:numPr>
          <w:ilvl w:val="0"/>
          <w:numId w:val="46"/>
        </w:numPr>
      </w:pPr>
      <w:r w:rsidRPr="00E75A8D">
        <w:t xml:space="preserve">AMY RUTH BRUNSTING f/k/a AMY RUTH TSCHIRHART, individually and as Successor Trustee of the Brunsting Family Living Trust, the Elmer H. Brunsting Decedent’s Trust, the Nelva E. Brunsting Survivor's Trust, the Carl Henry Brunsting Personal Asset Trust, and the Amy Ruth </w:t>
      </w:r>
      <w:proofErr w:type="spellStart"/>
      <w:r w:rsidRPr="00E75A8D">
        <w:t>T</w:t>
      </w:r>
      <w:r>
        <w:t>schirhart</w:t>
      </w:r>
      <w:proofErr w:type="spellEnd"/>
      <w:r>
        <w:t xml:space="preserve"> Personal Asset Trust;</w:t>
      </w:r>
    </w:p>
    <w:p w:rsidR="00DD647D" w:rsidRDefault="00DD647D" w:rsidP="00FD4548">
      <w:pPr>
        <w:pStyle w:val="NoSpacing"/>
        <w:keepNext w:val="0"/>
        <w:widowControl w:val="0"/>
        <w:numPr>
          <w:ilvl w:val="0"/>
          <w:numId w:val="46"/>
        </w:numPr>
      </w:pPr>
      <w:r w:rsidRPr="00E75A8D">
        <w:t xml:space="preserve">CAROLE ANN BRUNSTING, Individually and as Trustee of the Carole Ann Brunsting Personal Asset Trust; </w:t>
      </w:r>
    </w:p>
    <w:p w:rsidR="00E75A8D" w:rsidRPr="00DD647D" w:rsidRDefault="00DD647D" w:rsidP="00FD4548">
      <w:pPr>
        <w:pStyle w:val="NoSpacing"/>
        <w:keepNext w:val="0"/>
        <w:widowControl w:val="0"/>
        <w:numPr>
          <w:ilvl w:val="0"/>
          <w:numId w:val="46"/>
        </w:numPr>
      </w:pPr>
      <w:r w:rsidRPr="00E75A8D">
        <w:t>And, as a nominal defendant only, CANDACE LOUISE CURTIS</w:t>
      </w:r>
      <w:r w:rsidRPr="00E75A8D">
        <w:tab/>
      </w:r>
    </w:p>
    <w:p w:rsidR="00451EBF" w:rsidRDefault="00451EBF" w:rsidP="00FD4548">
      <w:pPr>
        <w:pStyle w:val="NumPara1"/>
        <w:widowControl w:val="0"/>
        <w:numPr>
          <w:ilvl w:val="0"/>
          <w:numId w:val="45"/>
        </w:numPr>
      </w:pPr>
      <w:r w:rsidRPr="00E852A7">
        <w:t xml:space="preserve">Breach of Fiduciary Duties, </w:t>
      </w:r>
    </w:p>
    <w:p w:rsidR="00451EBF" w:rsidRDefault="00451EBF" w:rsidP="00FD4548">
      <w:pPr>
        <w:pStyle w:val="NumPara1"/>
        <w:widowControl w:val="0"/>
        <w:numPr>
          <w:ilvl w:val="1"/>
          <w:numId w:val="30"/>
        </w:numPr>
      </w:pPr>
      <w:r>
        <w:t xml:space="preserve">there is fiduciary relationship between the plaintiff and defendant; </w:t>
      </w:r>
    </w:p>
    <w:p w:rsidR="00451EBF" w:rsidRDefault="00451EBF" w:rsidP="00FD4548">
      <w:pPr>
        <w:pStyle w:val="NumPara1"/>
        <w:widowControl w:val="0"/>
        <w:numPr>
          <w:ilvl w:val="1"/>
          <w:numId w:val="30"/>
        </w:numPr>
      </w:pPr>
      <w:r>
        <w:t xml:space="preserve">the defendant breached his fiduciary duty to the plaintiff; and </w:t>
      </w:r>
    </w:p>
    <w:p w:rsidR="00451EBF" w:rsidRPr="00E852A7" w:rsidRDefault="00451EBF" w:rsidP="00FD4548">
      <w:pPr>
        <w:pStyle w:val="NumPara1"/>
        <w:widowControl w:val="0"/>
        <w:numPr>
          <w:ilvl w:val="1"/>
          <w:numId w:val="30"/>
        </w:numPr>
      </w:pPr>
      <w:proofErr w:type="gramStart"/>
      <w:r>
        <w:t>the</w:t>
      </w:r>
      <w:proofErr w:type="gramEnd"/>
      <w:r>
        <w:t xml:space="preserve"> defendant's breach proximately caused injury to the plaintiff or benefit to the defendant.</w:t>
      </w:r>
    </w:p>
    <w:p w:rsidR="00451EBF" w:rsidRDefault="00451EBF" w:rsidP="00FD4548">
      <w:pPr>
        <w:pStyle w:val="NumPara1"/>
        <w:widowControl w:val="0"/>
      </w:pPr>
      <w:r w:rsidRPr="00E852A7">
        <w:t xml:space="preserve">Conversion, </w:t>
      </w:r>
    </w:p>
    <w:p w:rsidR="00451EBF" w:rsidRDefault="00451EBF" w:rsidP="00FD4548">
      <w:pPr>
        <w:pStyle w:val="NumPara1"/>
        <w:widowControl w:val="0"/>
        <w:numPr>
          <w:ilvl w:val="1"/>
          <w:numId w:val="30"/>
        </w:numPr>
      </w:pPr>
      <w:r w:rsidRPr="00B0545A">
        <w:t xml:space="preserve">Plaintiff owned, had legal  possession of, or was entitled to possession of the property; </w:t>
      </w:r>
    </w:p>
    <w:p w:rsidR="00451EBF" w:rsidRDefault="00451EBF" w:rsidP="00FD4548">
      <w:pPr>
        <w:pStyle w:val="NumPara1"/>
        <w:widowControl w:val="0"/>
        <w:numPr>
          <w:ilvl w:val="1"/>
          <w:numId w:val="30"/>
        </w:numPr>
      </w:pPr>
      <w:r w:rsidRPr="00B0545A">
        <w:t xml:space="preserve">Defendant assumed and exercised dominion and control over the property  in an unlawful and unauthorized manner, to the exclusion of and  inconsistent with plaintiff's rights; </w:t>
      </w:r>
    </w:p>
    <w:p w:rsidR="00451EBF" w:rsidRDefault="00451EBF" w:rsidP="00FD4548">
      <w:pPr>
        <w:pStyle w:val="NumPara1"/>
        <w:widowControl w:val="0"/>
        <w:numPr>
          <w:ilvl w:val="1"/>
          <w:numId w:val="30"/>
        </w:numPr>
      </w:pPr>
      <w:r w:rsidRPr="00B0545A">
        <w:t xml:space="preserve">Plaintiff made a demand for the property; </w:t>
      </w:r>
    </w:p>
    <w:p w:rsidR="00451EBF" w:rsidRPr="00E852A7" w:rsidRDefault="00451EBF" w:rsidP="00FD4548">
      <w:pPr>
        <w:pStyle w:val="NumPara1"/>
        <w:widowControl w:val="0"/>
        <w:numPr>
          <w:ilvl w:val="1"/>
          <w:numId w:val="30"/>
        </w:numPr>
      </w:pPr>
      <w:r w:rsidRPr="00B0545A">
        <w:t>Defendant refused to return the property.</w:t>
      </w:r>
    </w:p>
    <w:p w:rsidR="00451EBF" w:rsidRDefault="00451EBF" w:rsidP="00FD4548">
      <w:pPr>
        <w:pStyle w:val="NumPara1"/>
        <w:widowControl w:val="0"/>
      </w:pPr>
      <w:r>
        <w:t>Negligence,</w:t>
      </w:r>
    </w:p>
    <w:p w:rsidR="00451EBF" w:rsidRDefault="00451EBF" w:rsidP="00FD4548">
      <w:pPr>
        <w:pStyle w:val="NumPara1"/>
        <w:widowControl w:val="0"/>
        <w:numPr>
          <w:ilvl w:val="1"/>
          <w:numId w:val="30"/>
        </w:numPr>
      </w:pPr>
      <w:r>
        <w:t xml:space="preserve">Duty owed by defendant to plaintiff; </w:t>
      </w:r>
    </w:p>
    <w:p w:rsidR="00451EBF" w:rsidRDefault="00451EBF" w:rsidP="00FD4548">
      <w:pPr>
        <w:pStyle w:val="NumPara1"/>
        <w:widowControl w:val="0"/>
        <w:numPr>
          <w:ilvl w:val="1"/>
          <w:numId w:val="30"/>
        </w:numPr>
      </w:pPr>
      <w:r>
        <w:t xml:space="preserve">Breach of that duty; </w:t>
      </w:r>
    </w:p>
    <w:p w:rsidR="00451EBF" w:rsidRDefault="00451EBF" w:rsidP="00FD4548">
      <w:pPr>
        <w:pStyle w:val="NumPara1"/>
        <w:widowControl w:val="0"/>
        <w:numPr>
          <w:ilvl w:val="1"/>
          <w:numId w:val="30"/>
        </w:numPr>
      </w:pPr>
      <w:r>
        <w:t xml:space="preserve">Proximate cause of the plaintiff's damages by defendant's breach; and </w:t>
      </w:r>
    </w:p>
    <w:p w:rsidR="00451EBF" w:rsidRPr="00E852A7" w:rsidRDefault="00451EBF" w:rsidP="00FD4548">
      <w:pPr>
        <w:pStyle w:val="NumPara1"/>
        <w:widowControl w:val="0"/>
        <w:numPr>
          <w:ilvl w:val="1"/>
          <w:numId w:val="30"/>
        </w:numPr>
      </w:pPr>
      <w:r>
        <w:t>Damages.  </w:t>
      </w:r>
    </w:p>
    <w:p w:rsidR="00451EBF" w:rsidRDefault="00451EBF" w:rsidP="00FD4548">
      <w:pPr>
        <w:pStyle w:val="NumPara1"/>
        <w:widowControl w:val="0"/>
      </w:pPr>
      <w:r w:rsidRPr="00E852A7">
        <w:t>Civil Conspiracy,</w:t>
      </w:r>
    </w:p>
    <w:p w:rsidR="00451EBF" w:rsidRDefault="00451EBF" w:rsidP="00FD4548">
      <w:pPr>
        <w:pStyle w:val="NumPara1"/>
        <w:widowControl w:val="0"/>
        <w:numPr>
          <w:ilvl w:val="1"/>
          <w:numId w:val="30"/>
        </w:numPr>
      </w:pPr>
      <w:r w:rsidRPr="00B0545A">
        <w:t xml:space="preserve">a combination of two or more persons; </w:t>
      </w:r>
    </w:p>
    <w:p w:rsidR="00451EBF" w:rsidRDefault="00451EBF" w:rsidP="00FD4548">
      <w:pPr>
        <w:pStyle w:val="NumPara1"/>
        <w:widowControl w:val="0"/>
        <w:numPr>
          <w:ilvl w:val="1"/>
          <w:numId w:val="30"/>
        </w:numPr>
      </w:pPr>
      <w:r w:rsidRPr="00B0545A">
        <w:t>the persons seek to accomplish an object or course of action;</w:t>
      </w:r>
    </w:p>
    <w:p w:rsidR="00451EBF" w:rsidRDefault="00451EBF" w:rsidP="00FD4548">
      <w:pPr>
        <w:pStyle w:val="NumPara1"/>
        <w:widowControl w:val="0"/>
        <w:numPr>
          <w:ilvl w:val="1"/>
          <w:numId w:val="30"/>
        </w:numPr>
      </w:pPr>
      <w:r w:rsidRPr="00B0545A">
        <w:t>the persons reach a meeting of the minds on the object or course of action;</w:t>
      </w:r>
    </w:p>
    <w:p w:rsidR="00451EBF" w:rsidRDefault="00451EBF" w:rsidP="00FD4548">
      <w:pPr>
        <w:pStyle w:val="NumPara1"/>
        <w:widowControl w:val="0"/>
        <w:numPr>
          <w:ilvl w:val="1"/>
          <w:numId w:val="30"/>
        </w:numPr>
      </w:pPr>
      <w:r w:rsidRPr="00B0545A">
        <w:t>one or more unlawful, overt acts are taken in pursuance of the object or course of action; and</w:t>
      </w:r>
    </w:p>
    <w:p w:rsidR="00451EBF" w:rsidRPr="00E852A7" w:rsidRDefault="00451EBF" w:rsidP="00FD4548">
      <w:pPr>
        <w:pStyle w:val="NumPara1"/>
        <w:widowControl w:val="0"/>
        <w:numPr>
          <w:ilvl w:val="1"/>
          <w:numId w:val="30"/>
        </w:numPr>
      </w:pPr>
      <w:r w:rsidRPr="00B0545A">
        <w:t>Damages occur as a proximate result.</w:t>
      </w:r>
      <w:r w:rsidRPr="00E852A7">
        <w:t xml:space="preserve"> </w:t>
      </w:r>
    </w:p>
    <w:p w:rsidR="00451EBF" w:rsidRDefault="00451EBF" w:rsidP="00FD4548">
      <w:pPr>
        <w:pStyle w:val="NumPara1"/>
        <w:widowControl w:val="0"/>
      </w:pPr>
      <w:r w:rsidRPr="00E852A7">
        <w:t>Fraudulent Concealment</w:t>
      </w:r>
    </w:p>
    <w:p w:rsidR="00451EBF" w:rsidRPr="00E852A7" w:rsidRDefault="00451EBF" w:rsidP="00FD4548">
      <w:pPr>
        <w:pStyle w:val="NumPara1"/>
        <w:widowControl w:val="0"/>
        <w:numPr>
          <w:ilvl w:val="1"/>
          <w:numId w:val="30"/>
        </w:numPr>
      </w:pPr>
      <w:r>
        <w:t xml:space="preserve">Generally a theory applied to statutes of limitations in fraud cases. Given </w:t>
      </w:r>
      <w:r>
        <w:lastRenderedPageBreak/>
        <w:t xml:space="preserve">limitations are not at issue here is would simply mean breach of the fiduciary duty of full disclosure combined with the object </w:t>
      </w:r>
      <w:r w:rsidRPr="00B0545A">
        <w:t>or course of action</w:t>
      </w:r>
      <w:r>
        <w:t xml:space="preserve"> in the civil conspiracy.  </w:t>
      </w:r>
    </w:p>
    <w:p w:rsidR="00451EBF" w:rsidRPr="00E852A7" w:rsidRDefault="00451EBF" w:rsidP="00FD4548">
      <w:pPr>
        <w:pStyle w:val="Heading3"/>
        <w:widowControl w:val="0"/>
      </w:pPr>
      <w:r>
        <w:t>THE OTHER CLAIMS ARE REMEDIAL</w:t>
      </w:r>
    </w:p>
    <w:p w:rsidR="00451EBF" w:rsidRDefault="00451EBF" w:rsidP="00FD4548">
      <w:pPr>
        <w:pStyle w:val="NumPara1"/>
        <w:widowControl w:val="0"/>
      </w:pPr>
      <w:r w:rsidRPr="00E852A7">
        <w:t>Tortuous Interference with Inheritance,</w:t>
      </w:r>
    </w:p>
    <w:p w:rsidR="00451EBF" w:rsidRDefault="00451EBF" w:rsidP="00FD4548">
      <w:pPr>
        <w:pStyle w:val="NumPara1"/>
        <w:widowControl w:val="0"/>
        <w:numPr>
          <w:ilvl w:val="1"/>
          <w:numId w:val="30"/>
        </w:numPr>
      </w:pPr>
      <w:r>
        <w:t>Texas does not recognize this cause</w:t>
      </w:r>
      <w:r w:rsidRPr="00E852A7">
        <w:t xml:space="preserve"> </w:t>
      </w:r>
      <w:r w:rsidRPr="00314FAC">
        <w:t>Archer v. Anderson, 556 S.W.3d 228, 239 (Tex. 2018)</w:t>
      </w:r>
      <w:r w:rsidR="00DD647D">
        <w:t xml:space="preserve"> </w:t>
      </w:r>
    </w:p>
    <w:p w:rsidR="00451EBF" w:rsidRPr="00E852A7" w:rsidRDefault="00451EBF" w:rsidP="00FD4548">
      <w:pPr>
        <w:pStyle w:val="NumPara1"/>
        <w:widowControl w:val="0"/>
        <w:numPr>
          <w:ilvl w:val="1"/>
          <w:numId w:val="30"/>
        </w:numPr>
      </w:pPr>
      <w:r w:rsidRPr="00E852A7">
        <w:t xml:space="preserve">Constructive Trust, </w:t>
      </w:r>
    </w:p>
    <w:p w:rsidR="00451EBF" w:rsidRPr="00E852A7" w:rsidRDefault="00451EBF" w:rsidP="00FD4548">
      <w:pPr>
        <w:pStyle w:val="NumPara1"/>
        <w:widowControl w:val="0"/>
        <w:numPr>
          <w:ilvl w:val="1"/>
          <w:numId w:val="30"/>
        </w:numPr>
      </w:pPr>
      <w:r w:rsidRPr="00E852A7">
        <w:t xml:space="preserve">Construction of Trust and Suit for Declaratory Judgement, </w:t>
      </w:r>
    </w:p>
    <w:p w:rsidR="00451EBF" w:rsidRPr="00E852A7" w:rsidRDefault="00451EBF" w:rsidP="00FD4548">
      <w:pPr>
        <w:pStyle w:val="NumPara1"/>
        <w:widowControl w:val="0"/>
        <w:numPr>
          <w:ilvl w:val="1"/>
          <w:numId w:val="30"/>
        </w:numPr>
      </w:pPr>
      <w:r w:rsidRPr="00E852A7">
        <w:t xml:space="preserve">Demand for Trust Accounting, </w:t>
      </w:r>
    </w:p>
    <w:p w:rsidR="00451EBF" w:rsidRPr="00E852A7" w:rsidRDefault="00451EBF" w:rsidP="00FD4548">
      <w:pPr>
        <w:pStyle w:val="NumPara1"/>
        <w:widowControl w:val="0"/>
        <w:numPr>
          <w:ilvl w:val="1"/>
          <w:numId w:val="30"/>
        </w:numPr>
      </w:pPr>
      <w:r w:rsidRPr="00E852A7">
        <w:t xml:space="preserve">Prejudgment Interest </w:t>
      </w:r>
    </w:p>
    <w:p w:rsidR="00451EBF" w:rsidRPr="00FC46BC" w:rsidRDefault="00451EBF" w:rsidP="00FD4548">
      <w:pPr>
        <w:pStyle w:val="NumPara1"/>
        <w:widowControl w:val="0"/>
        <w:numPr>
          <w:ilvl w:val="1"/>
          <w:numId w:val="30"/>
        </w:numPr>
      </w:pPr>
      <w:r w:rsidRPr="00E852A7">
        <w:t>Attorney’s Fees pursuant to Chapters 37 of the Texas Civil Practice and Remedies Code and Chapter 115 of the Texas Property Code.</w:t>
      </w:r>
    </w:p>
    <w:p w:rsidR="00451EBF" w:rsidRDefault="00451EBF" w:rsidP="00FD4548">
      <w:pPr>
        <w:widowControl w:val="0"/>
        <w:spacing w:before="0"/>
        <w:ind w:firstLine="0"/>
        <w:contextualSpacing/>
        <w:rPr>
          <w:rFonts w:eastAsia="Calibri"/>
          <w:color w:val="auto"/>
        </w:rPr>
      </w:pPr>
    </w:p>
    <w:p w:rsidR="00DB673C" w:rsidRDefault="00DB673C" w:rsidP="00FD4548">
      <w:pPr>
        <w:widowControl w:val="0"/>
        <w:spacing w:before="0"/>
        <w:ind w:firstLine="360"/>
        <w:contextualSpacing/>
        <w:rPr>
          <w:rFonts w:eastAsia="Calibri"/>
          <w:color w:val="auto"/>
        </w:rPr>
      </w:pPr>
      <w:r>
        <w:rPr>
          <w:rFonts w:eastAsia="Calibri"/>
          <w:color w:val="auto"/>
        </w:rPr>
        <w:t xml:space="preserve">Defendant </w:t>
      </w:r>
      <w:r w:rsidR="005D0F64">
        <w:t>Co-Trustees</w:t>
      </w:r>
      <w:r>
        <w:rPr>
          <w:rFonts w:eastAsia="Calibri"/>
          <w:color w:val="auto"/>
        </w:rPr>
        <w:t xml:space="preserve"> filed their original answers on May 13, 2013</w:t>
      </w:r>
      <w:r w:rsidR="00E75A8D">
        <w:rPr>
          <w:rFonts w:eastAsia="Calibri"/>
          <w:color w:val="auto"/>
        </w:rPr>
        <w:t xml:space="preserve">:  </w:t>
      </w:r>
      <w:r w:rsidRPr="00240595">
        <w:rPr>
          <w:rFonts w:eastAsia="Calibri"/>
          <w:color w:val="auto"/>
        </w:rPr>
        <w:t xml:space="preserve">412249-401 </w:t>
      </w:r>
      <w:r w:rsidR="00E75A8D" w:rsidRPr="00240595">
        <w:rPr>
          <w:rFonts w:eastAsia="Calibri"/>
          <w:color w:val="auto"/>
        </w:rPr>
        <w:t>Amy</w:t>
      </w:r>
      <w:r w:rsidR="00E75A8D">
        <w:rPr>
          <w:rFonts w:eastAsia="Calibri"/>
          <w:color w:val="auto"/>
        </w:rPr>
        <w:t>’s</w:t>
      </w:r>
      <w:r w:rsidR="00E75A8D" w:rsidRPr="00240595">
        <w:rPr>
          <w:rFonts w:eastAsia="Calibri"/>
          <w:color w:val="auto"/>
        </w:rPr>
        <w:t xml:space="preserve"> Answer </w:t>
      </w:r>
      <w:r w:rsidRPr="00240595">
        <w:rPr>
          <w:rFonts w:eastAsia="Calibri"/>
          <w:color w:val="auto"/>
        </w:rPr>
        <w:t>PBT-2013-154977</w:t>
      </w:r>
      <w:r>
        <w:rPr>
          <w:rFonts w:eastAsia="Calibri"/>
          <w:color w:val="auto"/>
        </w:rPr>
        <w:t xml:space="preserve">; </w:t>
      </w:r>
      <w:r w:rsidR="00E75A8D">
        <w:rPr>
          <w:rFonts w:eastAsia="Calibri"/>
          <w:color w:val="auto"/>
        </w:rPr>
        <w:t xml:space="preserve">and Anita’s answer </w:t>
      </w:r>
      <w:r w:rsidRPr="00240595">
        <w:rPr>
          <w:rFonts w:eastAsia="Calibri"/>
          <w:color w:val="auto"/>
        </w:rPr>
        <w:t>PBT-2013-154981</w:t>
      </w:r>
      <w:r w:rsidR="00451EBF">
        <w:rPr>
          <w:rFonts w:eastAsia="Calibri"/>
          <w:color w:val="auto"/>
        </w:rPr>
        <w:t xml:space="preserve">. If Defendant </w:t>
      </w:r>
      <w:r w:rsidR="005D0F64">
        <w:t>Co-Trustees</w:t>
      </w:r>
      <w:r w:rsidR="00451EBF">
        <w:rPr>
          <w:rFonts w:eastAsia="Calibri"/>
          <w:color w:val="auto"/>
        </w:rPr>
        <w:t xml:space="preserve"> </w:t>
      </w:r>
      <w:r w:rsidR="00E75A8D">
        <w:rPr>
          <w:rFonts w:eastAsia="Calibri"/>
          <w:color w:val="auto"/>
        </w:rPr>
        <w:t xml:space="preserve">had counter claims those claims would be </w:t>
      </w:r>
      <w:r w:rsidR="00451EBF">
        <w:rPr>
          <w:rFonts w:eastAsia="Calibri"/>
          <w:color w:val="auto"/>
        </w:rPr>
        <w:t xml:space="preserve">compulsory and were </w:t>
      </w:r>
      <w:r w:rsidR="00E75A8D">
        <w:rPr>
          <w:rFonts w:eastAsia="Calibri"/>
          <w:color w:val="auto"/>
        </w:rPr>
        <w:t xml:space="preserve">waived under Texas Rules of Civil Procedure </w:t>
      </w:r>
      <w:r w:rsidR="00E5067E">
        <w:rPr>
          <w:rFonts w:eastAsia="Calibri"/>
          <w:color w:val="auto"/>
        </w:rPr>
        <w:t xml:space="preserve">97(a) </w:t>
      </w:r>
      <w:r w:rsidR="00E75A8D">
        <w:rPr>
          <w:rFonts w:eastAsia="Calibri"/>
          <w:color w:val="auto"/>
        </w:rPr>
        <w:t xml:space="preserve">when they failed to raise </w:t>
      </w:r>
      <w:r w:rsidR="00451EBF">
        <w:rPr>
          <w:rFonts w:eastAsia="Calibri"/>
          <w:color w:val="auto"/>
        </w:rPr>
        <w:t xml:space="preserve">their </w:t>
      </w:r>
      <w:r w:rsidR="00E5067E">
        <w:rPr>
          <w:rFonts w:eastAsia="Calibri"/>
          <w:color w:val="auto"/>
        </w:rPr>
        <w:t xml:space="preserve">compulsory counter claims </w:t>
      </w:r>
      <w:r w:rsidR="00E75A8D">
        <w:rPr>
          <w:rFonts w:eastAsia="Calibri"/>
          <w:color w:val="auto"/>
        </w:rPr>
        <w:t>with their original answer</w:t>
      </w:r>
      <w:r>
        <w:rPr>
          <w:rFonts w:eastAsia="Calibri"/>
          <w:color w:val="auto"/>
        </w:rPr>
        <w:t xml:space="preserve">. </w:t>
      </w:r>
    </w:p>
    <w:p w:rsidR="003523A7" w:rsidRDefault="003523A7" w:rsidP="003523A7">
      <w:pPr>
        <w:pStyle w:val="Heading4"/>
      </w:pPr>
      <w:bookmarkStart w:id="0" w:name="_Toc76195331"/>
      <w:r>
        <w:t>Breach of Fiduciary Duties</w:t>
      </w:r>
    </w:p>
    <w:p w:rsidR="003523A7" w:rsidRDefault="003523A7" w:rsidP="003523A7">
      <w:pPr>
        <w:pStyle w:val="NumPara1"/>
        <w:widowControl w:val="0"/>
        <w:numPr>
          <w:ilvl w:val="0"/>
          <w:numId w:val="0"/>
        </w:numPr>
        <w:ind w:left="360"/>
      </w:pPr>
      <w:r>
        <w:t>Anita (-401.1(a)) as a co-trustee is a fiduciary owing obligations to trust beneficiaries Amy, Anita, Carl, Carole and Candace.</w:t>
      </w:r>
    </w:p>
    <w:p w:rsidR="003523A7" w:rsidRDefault="003523A7" w:rsidP="003523A7">
      <w:pPr>
        <w:pStyle w:val="NumPara1"/>
        <w:widowControl w:val="0"/>
        <w:numPr>
          <w:ilvl w:val="0"/>
          <w:numId w:val="0"/>
        </w:numPr>
        <w:ind w:left="360"/>
      </w:pPr>
    </w:p>
    <w:p w:rsidR="003523A7" w:rsidRDefault="003523A7" w:rsidP="003523A7">
      <w:pPr>
        <w:pStyle w:val="NumPara1"/>
        <w:widowControl w:val="0"/>
        <w:numPr>
          <w:ilvl w:val="0"/>
          <w:numId w:val="0"/>
        </w:numPr>
        <w:ind w:left="360"/>
      </w:pPr>
      <w:r>
        <w:t>Amy (-401.1(b)) as a co-trustee is a fiduciary owing obligations to trust beneficiaries Amy, Anita, Carl, Carole and Candace.</w:t>
      </w:r>
    </w:p>
    <w:p w:rsidR="003523A7" w:rsidRDefault="003523A7" w:rsidP="003523A7">
      <w:pPr>
        <w:pStyle w:val="NumPara1"/>
        <w:widowControl w:val="0"/>
        <w:numPr>
          <w:ilvl w:val="0"/>
          <w:numId w:val="0"/>
        </w:numPr>
        <w:ind w:left="360"/>
      </w:pPr>
    </w:p>
    <w:p w:rsidR="003523A7" w:rsidRDefault="003523A7" w:rsidP="003523A7">
      <w:pPr>
        <w:pStyle w:val="NumPara1"/>
        <w:widowControl w:val="0"/>
        <w:numPr>
          <w:ilvl w:val="0"/>
          <w:numId w:val="0"/>
        </w:numPr>
        <w:ind w:left="360"/>
      </w:pPr>
      <w:r>
        <w:t>Independent Executor Carl owes fiduciary obligations to the Decedent and the Decedent’s devisee, the family trust, and by necessary implication to trust beneficiaries Amy, Anita, Carl, Carole and Candace.</w:t>
      </w:r>
    </w:p>
    <w:p w:rsidR="003523A7" w:rsidRDefault="003523A7" w:rsidP="003523A7">
      <w:pPr>
        <w:pStyle w:val="NumPara1"/>
        <w:widowControl w:val="0"/>
        <w:numPr>
          <w:ilvl w:val="0"/>
          <w:numId w:val="0"/>
        </w:numPr>
        <w:ind w:left="360"/>
      </w:pPr>
    </w:p>
    <w:p w:rsidR="003523A7" w:rsidRDefault="003523A7" w:rsidP="003523A7">
      <w:pPr>
        <w:pStyle w:val="NumPara1"/>
        <w:widowControl w:val="0"/>
        <w:numPr>
          <w:ilvl w:val="0"/>
          <w:numId w:val="0"/>
        </w:numPr>
        <w:ind w:left="360"/>
      </w:pPr>
      <w:r>
        <w:t xml:space="preserve">Carole is not a fiduciary and owes no fiduciary obligations to Carl. </w:t>
      </w:r>
    </w:p>
    <w:p w:rsidR="003523A7" w:rsidRDefault="003523A7" w:rsidP="003523A7">
      <w:pPr>
        <w:pStyle w:val="NumPara1"/>
        <w:widowControl w:val="0"/>
        <w:numPr>
          <w:ilvl w:val="0"/>
          <w:numId w:val="0"/>
        </w:numPr>
        <w:ind w:left="360"/>
      </w:pPr>
    </w:p>
    <w:p w:rsidR="003523A7" w:rsidRDefault="003523A7" w:rsidP="003523A7">
      <w:pPr>
        <w:pStyle w:val="Heading4"/>
      </w:pPr>
      <w:r w:rsidRPr="00E852A7">
        <w:t xml:space="preserve">Conversion, </w:t>
      </w:r>
    </w:p>
    <w:p w:rsidR="003523A7" w:rsidRDefault="003523A7" w:rsidP="003523A7">
      <w:pPr>
        <w:pStyle w:val="NumPara1"/>
        <w:widowControl w:val="0"/>
        <w:numPr>
          <w:ilvl w:val="0"/>
          <w:numId w:val="0"/>
        </w:numPr>
        <w:ind w:left="360"/>
      </w:pPr>
      <w:r>
        <w:t xml:space="preserve">Candace and Carole have never been in possession, </w:t>
      </w:r>
      <w:r w:rsidRPr="00D83E65">
        <w:t xml:space="preserve">assumed </w:t>
      </w:r>
      <w:r>
        <w:t>control or</w:t>
      </w:r>
      <w:r w:rsidRPr="00D83E65">
        <w:t xml:space="preserve"> exercised dominion</w:t>
      </w:r>
      <w:r>
        <w:t xml:space="preserve"> </w:t>
      </w:r>
      <w:r>
        <w:lastRenderedPageBreak/>
        <w:t>over any</w:t>
      </w:r>
      <w:r w:rsidRPr="00D83E65">
        <w:t xml:space="preserve"> property </w:t>
      </w:r>
      <w:r>
        <w:t>belonging to Carl.</w:t>
      </w:r>
    </w:p>
    <w:p w:rsidR="003523A7" w:rsidRDefault="003523A7" w:rsidP="003523A7">
      <w:pPr>
        <w:pStyle w:val="NumPara1"/>
        <w:widowControl w:val="0"/>
        <w:numPr>
          <w:ilvl w:val="0"/>
          <w:numId w:val="0"/>
        </w:numPr>
        <w:ind w:left="360"/>
      </w:pPr>
    </w:p>
    <w:p w:rsidR="003523A7" w:rsidRDefault="003523A7" w:rsidP="003523A7">
      <w:pPr>
        <w:pStyle w:val="Heading4"/>
      </w:pPr>
      <w:r>
        <w:t>Negligence</w:t>
      </w:r>
    </w:p>
    <w:p w:rsidR="003523A7" w:rsidRDefault="003523A7" w:rsidP="003523A7">
      <w:pPr>
        <w:pStyle w:val="NumPara1"/>
        <w:widowControl w:val="0"/>
        <w:numPr>
          <w:ilvl w:val="0"/>
          <w:numId w:val="0"/>
        </w:numPr>
        <w:ind w:left="360"/>
      </w:pPr>
      <w:r>
        <w:t xml:space="preserve">Candace and Carole owe no duties to Carl and </w:t>
      </w:r>
      <w:proofErr w:type="gramStart"/>
      <w:r>
        <w:t>carl</w:t>
      </w:r>
      <w:proofErr w:type="gramEnd"/>
      <w:r>
        <w:t xml:space="preserve"> has identified no duties owed by Candace or Carole in relation to any of his claims.  </w:t>
      </w:r>
    </w:p>
    <w:p w:rsidR="003523A7" w:rsidRDefault="003523A7" w:rsidP="003523A7">
      <w:pPr>
        <w:pStyle w:val="NumPara1"/>
        <w:widowControl w:val="0"/>
        <w:numPr>
          <w:ilvl w:val="0"/>
          <w:numId w:val="0"/>
        </w:numPr>
        <w:ind w:left="360"/>
      </w:pPr>
      <w:r>
        <w:t xml:space="preserve"> </w:t>
      </w:r>
    </w:p>
    <w:p w:rsidR="003523A7" w:rsidRDefault="003523A7" w:rsidP="003523A7">
      <w:pPr>
        <w:pStyle w:val="Heading4"/>
      </w:pPr>
      <w:r>
        <w:t>Civil Conspiracy</w:t>
      </w:r>
    </w:p>
    <w:p w:rsidR="003523A7" w:rsidRPr="00D83E65" w:rsidRDefault="003523A7" w:rsidP="003523A7">
      <w:r w:rsidRPr="003523A7">
        <w:t>Civil conspiracy is not an independent tort, but rather, a theory of vicarious liability which requires some underlying wrong.</w:t>
      </w:r>
      <w:r>
        <w:t xml:space="preserve"> </w:t>
      </w:r>
    </w:p>
    <w:p w:rsidR="003523A7" w:rsidRDefault="003523A7" w:rsidP="003523A7">
      <w:pPr>
        <w:pStyle w:val="Heading4"/>
      </w:pPr>
      <w:r>
        <w:t>Fraudulent Concealment</w:t>
      </w:r>
    </w:p>
    <w:p w:rsidR="003523A7" w:rsidRDefault="003523A7" w:rsidP="003523A7">
      <w:r>
        <w:t>Carl only plead this in regard to statutes of limitations</w:t>
      </w:r>
    </w:p>
    <w:p w:rsidR="00D2774A" w:rsidRDefault="00D2774A" w:rsidP="00FD4548">
      <w:pPr>
        <w:widowControl w:val="0"/>
        <w:spacing w:before="0" w:after="0" w:line="240" w:lineRule="auto"/>
        <w:ind w:firstLine="0"/>
        <w:rPr>
          <w:rFonts w:cstheme="majorBidi"/>
          <w:b/>
          <w:bCs/>
          <w:sz w:val="26"/>
          <w:szCs w:val="26"/>
        </w:rPr>
      </w:pPr>
      <w:r>
        <w:br w:type="page"/>
      </w:r>
    </w:p>
    <w:p w:rsidR="00C76450" w:rsidRDefault="00DB673C" w:rsidP="00C76450">
      <w:pPr>
        <w:pStyle w:val="Heading1"/>
      </w:pPr>
      <w:r w:rsidRPr="00DE356B">
        <w:lastRenderedPageBreak/>
        <w:t>412,249-401</w:t>
      </w:r>
      <w:r>
        <w:t>.3</w:t>
      </w:r>
      <w:r w:rsidRPr="00DE356B">
        <w:t xml:space="preserve"> </w:t>
      </w:r>
    </w:p>
    <w:p w:rsidR="00DB673C" w:rsidRDefault="00DB673C" w:rsidP="00FD4548">
      <w:pPr>
        <w:pStyle w:val="Heading2"/>
        <w:widowControl w:val="0"/>
      </w:pPr>
      <w:r w:rsidRPr="00214E23">
        <w:t>Defendant Carole Brunsting’s Original Counter Claims</w:t>
      </w:r>
      <w:r>
        <w:t xml:space="preserve"> </w:t>
      </w:r>
      <w:r w:rsidRPr="00A82C76">
        <w:t xml:space="preserve">vs </w:t>
      </w:r>
      <w:r>
        <w:t xml:space="preserve">Independent Executor </w:t>
      </w:r>
      <w:r w:rsidRPr="00A82C76">
        <w:t>Carl Brunsting</w:t>
      </w:r>
    </w:p>
    <w:p w:rsidR="00DB673C" w:rsidRPr="00214E23" w:rsidRDefault="00DB673C" w:rsidP="00FD4548">
      <w:pPr>
        <w:pStyle w:val="NoSpacing"/>
        <w:keepNext w:val="0"/>
        <w:widowControl w:val="0"/>
      </w:pPr>
      <w:r>
        <w:t>(Filed</w:t>
      </w:r>
      <w:r w:rsidRPr="00214E23">
        <w:t xml:space="preserve"> May 5, 2013</w:t>
      </w:r>
      <w:r>
        <w:t>)</w:t>
      </w:r>
    </w:p>
    <w:p w:rsidR="00DB673C" w:rsidRPr="00A82C76" w:rsidRDefault="00DB673C" w:rsidP="00FD4548">
      <w:pPr>
        <w:pStyle w:val="NumPara1"/>
        <w:widowControl w:val="0"/>
        <w:numPr>
          <w:ilvl w:val="0"/>
          <w:numId w:val="33"/>
        </w:numPr>
      </w:pPr>
      <w:r w:rsidRPr="00A82C76">
        <w:t xml:space="preserve">Breach of Fiduciary, </w:t>
      </w:r>
    </w:p>
    <w:p w:rsidR="00DB673C" w:rsidRPr="00DD647D" w:rsidRDefault="00DB673C" w:rsidP="00FD4548">
      <w:pPr>
        <w:pStyle w:val="NumPara1"/>
        <w:widowControl w:val="0"/>
        <w:numPr>
          <w:ilvl w:val="1"/>
          <w:numId w:val="30"/>
        </w:numPr>
        <w:rPr>
          <w:strike/>
        </w:rPr>
      </w:pPr>
      <w:r w:rsidRPr="00DD647D">
        <w:rPr>
          <w:strike/>
        </w:rPr>
        <w:t xml:space="preserve">Tortious Interference with Inheritance Rights </w:t>
      </w:r>
    </w:p>
    <w:p w:rsidR="00DB673C" w:rsidRPr="00A82C76" w:rsidRDefault="00DB673C" w:rsidP="00FD4548">
      <w:pPr>
        <w:pStyle w:val="NumPara1"/>
        <w:widowControl w:val="0"/>
        <w:numPr>
          <w:ilvl w:val="1"/>
          <w:numId w:val="30"/>
        </w:numPr>
      </w:pPr>
      <w:r w:rsidRPr="00A82C76">
        <w:t>Actual Damages</w:t>
      </w:r>
    </w:p>
    <w:p w:rsidR="00DB673C" w:rsidRPr="00925893" w:rsidRDefault="00DB673C" w:rsidP="00FD4548">
      <w:pPr>
        <w:pStyle w:val="NumPara1"/>
        <w:widowControl w:val="0"/>
        <w:numPr>
          <w:ilvl w:val="1"/>
          <w:numId w:val="30"/>
        </w:numPr>
      </w:pPr>
      <w:r w:rsidRPr="002F6AF4">
        <w:t>Punitive Damages</w:t>
      </w:r>
    </w:p>
    <w:p w:rsidR="00DB673C" w:rsidRDefault="00DB673C" w:rsidP="00FD4548">
      <w:pPr>
        <w:pStyle w:val="NumPara1"/>
        <w:widowControl w:val="0"/>
        <w:numPr>
          <w:ilvl w:val="1"/>
          <w:numId w:val="30"/>
        </w:numPr>
      </w:pPr>
      <w:r>
        <w:t>A</w:t>
      </w:r>
      <w:r w:rsidRPr="00A82C76">
        <w:t>ttorneys' fees, costs, and expenses</w:t>
      </w:r>
    </w:p>
    <w:p w:rsidR="00DB673C" w:rsidRPr="00A82C76" w:rsidRDefault="00DB673C" w:rsidP="00FD4548">
      <w:pPr>
        <w:pStyle w:val="NumPara1"/>
        <w:widowControl w:val="0"/>
        <w:numPr>
          <w:ilvl w:val="1"/>
          <w:numId w:val="30"/>
        </w:numPr>
      </w:pPr>
      <w:r w:rsidRPr="002F6AF4">
        <w:t>declaratory judgment</w:t>
      </w:r>
    </w:p>
    <w:p w:rsidR="00105C93" w:rsidRDefault="00DB673C" w:rsidP="00FD4548">
      <w:pPr>
        <w:widowControl w:val="0"/>
      </w:pPr>
      <w:r w:rsidRPr="005C4EAB">
        <w:t xml:space="preserve">While the estate (412249) was removed from the active docket </w:t>
      </w:r>
      <w:r>
        <w:t xml:space="preserve">with the approval of the inventory </w:t>
      </w:r>
      <w:r w:rsidR="00CC30CD">
        <w:t>(</w:t>
      </w:r>
      <w:r>
        <w:t>4/5/2013</w:t>
      </w:r>
      <w:r w:rsidR="00CC30CD">
        <w:t>)</w:t>
      </w:r>
      <w:r>
        <w:t xml:space="preserve"> </w:t>
      </w:r>
      <w:r w:rsidRPr="005C4EAB">
        <w:t>prior to any claims having been filed in th</w:t>
      </w:r>
      <w:r w:rsidR="00105C93">
        <w:t xml:space="preserve">e probate </w:t>
      </w:r>
      <w:r w:rsidRPr="005C4EAB">
        <w:t>court</w:t>
      </w:r>
      <w:r>
        <w:t xml:space="preserve"> </w:t>
      </w:r>
      <w:r w:rsidR="00105C93">
        <w:t xml:space="preserve">on </w:t>
      </w:r>
      <w:r>
        <w:t>4/9/2013</w:t>
      </w:r>
      <w:r w:rsidRPr="005C4EAB">
        <w:t xml:space="preserve">, Independent Executor Carl Brunsting </w:t>
      </w:r>
      <w:r w:rsidR="00105C93">
        <w:t xml:space="preserve">resigned the office leaving it vacant but </w:t>
      </w:r>
      <w:r w:rsidRPr="005C4EAB">
        <w:t xml:space="preserve">has not been relieved of fiduciary </w:t>
      </w:r>
      <w:r>
        <w:t xml:space="preserve">liability nor has he distinguished his individual </w:t>
      </w:r>
      <w:r w:rsidR="00E5067E">
        <w:t>claims</w:t>
      </w:r>
      <w:r>
        <w:t xml:space="preserve"> from those of the independent executor</w:t>
      </w:r>
      <w:r w:rsidRPr="005C4EAB">
        <w:t>.</w:t>
      </w:r>
      <w:r>
        <w:t xml:space="preserve"> </w:t>
      </w:r>
    </w:p>
    <w:p w:rsidR="00D2774A" w:rsidRDefault="007E42CB" w:rsidP="007E42CB">
      <w:r>
        <w:t xml:space="preserve">By filing civil tort claims in the probate court; in an independent administration; after the inventory had been approved and the probate dropped from the active docket, Carl converted the “independent administration” of a pour-over estate into a dependent administration of a living trust in violation of Section 6.04 of the wills and other specific provisions contained therein. </w:t>
      </w:r>
    </w:p>
    <w:p w:rsidR="00AA14C8" w:rsidRDefault="007E42CB" w:rsidP="00EF2EC2">
      <w:r>
        <w:t>Carole Brunsting’s breach of fiduciary claims against independent executor Carl Brunsting cannot be severed</w:t>
      </w:r>
      <w:r w:rsidR="00EF2EC2">
        <w:t xml:space="preserve"> from independent executor Carl Brunsting’s claims against</w:t>
      </w:r>
      <w:r w:rsidR="005D4EAE">
        <w:t xml:space="preserve"> non-fiduciary</w:t>
      </w:r>
      <w:r w:rsidR="00EF2EC2">
        <w:t xml:space="preserve"> </w:t>
      </w:r>
      <w:r w:rsidR="00C76450">
        <w:t xml:space="preserve">beneficiary </w:t>
      </w:r>
      <w:r w:rsidR="00EF2EC2">
        <w:t>Carole</w:t>
      </w:r>
      <w:r w:rsidR="005D4EAE">
        <w:t xml:space="preserve"> Brunsting</w:t>
      </w:r>
      <w:r>
        <w:t>.</w:t>
      </w:r>
      <w:bookmarkEnd w:id="0"/>
    </w:p>
    <w:p w:rsidR="005D4EAE" w:rsidRDefault="005D4EAE">
      <w:pPr>
        <w:spacing w:before="0" w:after="0" w:line="240" w:lineRule="auto"/>
        <w:ind w:firstLine="0"/>
        <w:rPr>
          <w:rFonts w:cstheme="majorBidi"/>
          <w:b/>
          <w:bCs/>
          <w:sz w:val="26"/>
          <w:szCs w:val="26"/>
        </w:rPr>
      </w:pPr>
      <w:r>
        <w:br w:type="page"/>
      </w:r>
    </w:p>
    <w:p w:rsidR="00C76450" w:rsidRDefault="00DB673C" w:rsidP="00C76450">
      <w:pPr>
        <w:pStyle w:val="Heading1"/>
      </w:pPr>
      <w:r w:rsidRPr="00DE356B">
        <w:lastRenderedPageBreak/>
        <w:t>412,249-401</w:t>
      </w:r>
      <w:r>
        <w:t>.</w:t>
      </w:r>
      <w:r w:rsidR="002C33A1">
        <w:t>4</w:t>
      </w:r>
      <w:r w:rsidRPr="00DE356B">
        <w:t xml:space="preserve"> </w:t>
      </w:r>
    </w:p>
    <w:p w:rsidR="00DB673C" w:rsidRDefault="00DB673C" w:rsidP="00FD4548">
      <w:pPr>
        <w:pStyle w:val="Heading2"/>
        <w:widowControl w:val="0"/>
      </w:pPr>
      <w:r w:rsidRPr="00DE356B">
        <w:t>Defendant</w:t>
      </w:r>
      <w:r w:rsidR="00BC0E8C">
        <w:t xml:space="preserve"> Co-trustee</w:t>
      </w:r>
      <w:r w:rsidRPr="00DE356B">
        <w:t xml:space="preserve"> Anita and Amy Brunsting’s Original Counter Claims</w:t>
      </w:r>
      <w:r>
        <w:t xml:space="preserve"> vs Carl</w:t>
      </w:r>
    </w:p>
    <w:p w:rsidR="00DB673C" w:rsidRPr="00E35461" w:rsidRDefault="00DB673C" w:rsidP="00FD4548">
      <w:pPr>
        <w:widowControl w:val="0"/>
        <w:rPr>
          <w:rFonts w:eastAsiaTheme="minorEastAsia" w:cstheme="minorBidi"/>
          <w:color w:val="auto"/>
        </w:rPr>
      </w:pPr>
      <w:r w:rsidRPr="00770CC9">
        <w:rPr>
          <w:rFonts w:eastAsiaTheme="minorEastAsia"/>
        </w:rPr>
        <w:t xml:space="preserve">Defendant </w:t>
      </w:r>
      <w:r w:rsidR="005D0F64">
        <w:t>Co-Trustees</w:t>
      </w:r>
      <w:r w:rsidRPr="00770CC9">
        <w:rPr>
          <w:rFonts w:eastAsiaTheme="minorEastAsia"/>
        </w:rPr>
        <w:t xml:space="preserve"> filed their original answers on May 13, 2013</w:t>
      </w:r>
      <w:r>
        <w:rPr>
          <w:rFonts w:eastAsiaTheme="minorEastAsia"/>
        </w:rPr>
        <w:t xml:space="preserve"> with no counter claims.</w:t>
      </w:r>
      <w:r w:rsidRPr="00770CC9">
        <w:rPr>
          <w:rFonts w:eastAsiaTheme="minorEastAsia"/>
        </w:rPr>
        <w:t xml:space="preserve"> </w:t>
      </w:r>
      <w:r>
        <w:rPr>
          <w:rFonts w:eastAsiaTheme="minorEastAsia" w:cstheme="minorBidi"/>
          <w:color w:val="auto"/>
        </w:rPr>
        <w:t>On</w:t>
      </w:r>
      <w:r w:rsidRPr="00E35461">
        <w:rPr>
          <w:rFonts w:eastAsiaTheme="minorEastAsia" w:cstheme="minorBidi"/>
          <w:color w:val="auto"/>
        </w:rPr>
        <w:t xml:space="preserve"> November 4, 2019</w:t>
      </w:r>
      <w:r>
        <w:rPr>
          <w:rFonts w:eastAsiaTheme="minorEastAsia" w:cstheme="minorBidi"/>
          <w:color w:val="auto"/>
        </w:rPr>
        <w:t xml:space="preserve">, </w:t>
      </w:r>
      <w:r>
        <w:rPr>
          <w:rStyle w:val="big"/>
        </w:rPr>
        <w:t>6 years, 5 months, 23 days</w:t>
      </w:r>
      <w:r w:rsidRPr="00E35461">
        <w:rPr>
          <w:rFonts w:eastAsiaTheme="minorEastAsia" w:cstheme="minorBidi"/>
          <w:color w:val="auto"/>
        </w:rPr>
        <w:t xml:space="preserve"> </w:t>
      </w:r>
      <w:r>
        <w:rPr>
          <w:rFonts w:eastAsiaTheme="minorEastAsia" w:cstheme="minorBidi"/>
          <w:color w:val="auto"/>
        </w:rPr>
        <w:t xml:space="preserve">later, </w:t>
      </w:r>
      <w:r w:rsidR="00E5067E">
        <w:rPr>
          <w:rFonts w:eastAsiaTheme="minorEastAsia" w:cstheme="minorBidi"/>
          <w:color w:val="auto"/>
        </w:rPr>
        <w:t xml:space="preserve">the Defendant </w:t>
      </w:r>
      <w:r w:rsidR="005D0F64">
        <w:t>Co-Trustees</w:t>
      </w:r>
      <w:r>
        <w:rPr>
          <w:rFonts w:eastAsiaTheme="minorEastAsia" w:cstheme="minorBidi"/>
          <w:color w:val="auto"/>
        </w:rPr>
        <w:t xml:space="preserve"> file</w:t>
      </w:r>
      <w:r w:rsidR="00E5067E">
        <w:rPr>
          <w:rFonts w:eastAsiaTheme="minorEastAsia" w:cstheme="minorBidi"/>
          <w:color w:val="auto"/>
        </w:rPr>
        <w:t>d</w:t>
      </w:r>
      <w:r>
        <w:rPr>
          <w:rFonts w:eastAsiaTheme="minorEastAsia" w:cstheme="minorBidi"/>
          <w:color w:val="auto"/>
        </w:rPr>
        <w:t xml:space="preserve"> their “original counter claims” against beneficiaries Carl and Candace, without</w:t>
      </w:r>
      <w:r w:rsidRPr="00E35461">
        <w:rPr>
          <w:rFonts w:eastAsiaTheme="minorEastAsia" w:cstheme="minorBidi"/>
          <w:color w:val="auto"/>
        </w:rPr>
        <w:t xml:space="preserve"> reference to jurisdiction, venue</w:t>
      </w:r>
      <w:r>
        <w:rPr>
          <w:rFonts w:eastAsiaTheme="minorEastAsia" w:cstheme="minorBidi"/>
          <w:color w:val="auto"/>
        </w:rPr>
        <w:t xml:space="preserve"> or </w:t>
      </w:r>
      <w:r w:rsidRPr="00E35461">
        <w:rPr>
          <w:rFonts w:eastAsiaTheme="minorEastAsia" w:cstheme="minorBidi"/>
          <w:color w:val="auto"/>
        </w:rPr>
        <w:t>forum statutes</w:t>
      </w:r>
      <w:r>
        <w:rPr>
          <w:rFonts w:eastAsiaTheme="minorEastAsia" w:cstheme="minorBidi"/>
          <w:color w:val="auto"/>
        </w:rPr>
        <w:t>. Those claims are as follows:</w:t>
      </w:r>
    </w:p>
    <w:p w:rsidR="00DB673C" w:rsidRPr="002F6AF4" w:rsidRDefault="00DB673C" w:rsidP="00FD4548">
      <w:pPr>
        <w:pStyle w:val="NumPara1"/>
        <w:widowControl w:val="0"/>
        <w:numPr>
          <w:ilvl w:val="0"/>
          <w:numId w:val="31"/>
        </w:numPr>
      </w:pPr>
      <w:r w:rsidRPr="002F6AF4">
        <w:t>One or more of the causes of action asserted and/or declarations sought by Carl trigger forfeiture provisions.</w:t>
      </w:r>
    </w:p>
    <w:p w:rsidR="00DB673C" w:rsidRDefault="00DB673C" w:rsidP="00FD4548">
      <w:pPr>
        <w:pStyle w:val="NumPara1"/>
        <w:widowControl w:val="0"/>
      </w:pPr>
      <w:r w:rsidRPr="002F6AF4">
        <w:t xml:space="preserve">One or more of the motions, responses, and/or replies filed by Carl trigger forfeiture provisions; </w:t>
      </w:r>
    </w:p>
    <w:p w:rsidR="00DB673C" w:rsidRDefault="00DB673C" w:rsidP="00FD4548">
      <w:pPr>
        <w:pStyle w:val="NumPara1"/>
        <w:widowControl w:val="0"/>
      </w:pPr>
      <w:r w:rsidRPr="002F6AF4">
        <w:t>Carl did not have just cause to bring the action, and it</w:t>
      </w:r>
      <w:r>
        <w:t xml:space="preserve"> was not brought in good faith;</w:t>
      </w:r>
    </w:p>
    <w:p w:rsidR="00DB673C" w:rsidRDefault="00DB673C" w:rsidP="00FD4548">
      <w:pPr>
        <w:pStyle w:val="NumPara1"/>
        <w:widowControl w:val="0"/>
      </w:pPr>
      <w:r w:rsidRPr="002F6AF4">
        <w:t>Carl has forfeited his interest, and thus his interest passes as if h</w:t>
      </w:r>
      <w:r>
        <w:t>e has predeceased the Founders;</w:t>
      </w:r>
    </w:p>
    <w:p w:rsidR="00DB673C" w:rsidRDefault="00DB673C" w:rsidP="00FD4548">
      <w:pPr>
        <w:pStyle w:val="NumPara1"/>
        <w:widowControl w:val="0"/>
      </w:pPr>
      <w:r w:rsidRPr="002F6AF4">
        <w:t>If Carl has not forfeited his interest via asserting any of the identified claims, and is or becomes entitled to receive any interest in the Founders' estate, then Amy's and Anita's expenses in defending against Carl's claims are to be charged against</w:t>
      </w:r>
      <w:r>
        <w:t xml:space="preserve"> his interest dollar for-dollar</w:t>
      </w:r>
    </w:p>
    <w:p w:rsidR="00DB673C" w:rsidRDefault="00DB673C" w:rsidP="00FD4548">
      <w:pPr>
        <w:pStyle w:val="NumPara1"/>
        <w:widowControl w:val="0"/>
      </w:pPr>
      <w:r w:rsidRPr="002F6AF4">
        <w:t>All expenses incurred by Amy and Anita to legally defend against or otherwise resist the contest or attack by Carl and/or Curtis are to be paid from the Trust as expenses of administration.</w:t>
      </w:r>
    </w:p>
    <w:p w:rsidR="0066376D" w:rsidRDefault="0066376D" w:rsidP="0066376D">
      <w:r w:rsidRPr="00F95C32">
        <w:t xml:space="preserve">It is an odd theory that defending beneficial interests in trust property equals forfeiture of those same </w:t>
      </w:r>
      <w:r>
        <w:t xml:space="preserve">beneficial </w:t>
      </w:r>
      <w:r w:rsidRPr="00F95C32">
        <w:t>interests</w:t>
      </w:r>
      <w:r>
        <w:t xml:space="preserve">, </w:t>
      </w:r>
      <w:r w:rsidRPr="00F95C32">
        <w:t xml:space="preserve">the equivalent of saying the beneficiary </w:t>
      </w:r>
      <w:r>
        <w:t xml:space="preserve">and the </w:t>
      </w:r>
      <w:r w:rsidR="005D0F64">
        <w:t xml:space="preserve">Co-Trustees </w:t>
      </w:r>
      <w:r>
        <w:t>are</w:t>
      </w:r>
      <w:r w:rsidRPr="00F95C32">
        <w:t xml:space="preserve"> merely nominal</w:t>
      </w:r>
      <w:r>
        <w:t xml:space="preserve">. If the Defendant </w:t>
      </w:r>
      <w:r w:rsidR="005D0F64">
        <w:t xml:space="preserve">Co-Trustees </w:t>
      </w:r>
      <w:r>
        <w:t xml:space="preserve">have no obligations that can be enforced by the beneficiary, legal and equitable titles merge in the beneficiary, </w:t>
      </w:r>
      <w:r w:rsidRPr="00BB3308">
        <w:t>Trust Code § 112.032</w:t>
      </w:r>
      <w:r>
        <w:t xml:space="preserve">. </w:t>
      </w:r>
    </w:p>
    <w:p w:rsidR="005F5ACC" w:rsidRPr="00F95C32" w:rsidRDefault="005F5ACC" w:rsidP="00FD4548">
      <w:pPr>
        <w:pStyle w:val="Quote"/>
        <w:widowControl w:val="0"/>
      </w:pPr>
      <w:r>
        <w:t xml:space="preserve">Texas Property Code </w:t>
      </w:r>
      <w:r w:rsidRPr="00F95C32">
        <w:t>§ 111.0035(b)(6) The terms of a trust will not be construed to prevent a beneficiary from seeking to compel a fiduciary to perform the fiduciary’s duties; from seeking redress against a fiduciary for a breach of the fiduciary’s duties; or seeking a judicial construction of a will or trust. (§ 112.038)</w:t>
      </w:r>
    </w:p>
    <w:p w:rsidR="00D2774A" w:rsidRPr="0092074C" w:rsidRDefault="005F5ACC" w:rsidP="0092074C">
      <w:pPr>
        <w:pStyle w:val="Quote"/>
        <w:widowControl w:val="0"/>
      </w:pPr>
      <w:r w:rsidRPr="00F95C32">
        <w:t xml:space="preserve">"The right to challenge a fiduciary's actions is inherent in the fiduciary / beneficiary relationship." </w:t>
      </w:r>
      <w:proofErr w:type="spellStart"/>
      <w:r w:rsidRPr="00F95C32">
        <w:t>McLendon</w:t>
      </w:r>
      <w:proofErr w:type="spellEnd"/>
      <w:r w:rsidRPr="00F95C32">
        <w:t xml:space="preserve">, </w:t>
      </w:r>
      <w:hyperlink r:id="rId9" w:anchor="p678" w:history="1">
        <w:proofErr w:type="gramStart"/>
        <w:r w:rsidRPr="00F95C32">
          <w:rPr>
            <w:rStyle w:val="Hyperlink"/>
            <w:i w:val="0"/>
            <w:szCs w:val="24"/>
          </w:rPr>
          <w:t>862 S.W.2d at 678</w:t>
        </w:r>
        <w:proofErr w:type="gramEnd"/>
      </w:hyperlink>
      <w:r w:rsidRPr="00F95C32">
        <w:t>.” Lesikar v. Moon, 237 S.W.3d 361, 370 (Tex. App. 2007)</w:t>
      </w:r>
      <w:r w:rsidR="00D2774A">
        <w:br w:type="page"/>
      </w:r>
    </w:p>
    <w:p w:rsidR="00C76450" w:rsidRDefault="00DB673C" w:rsidP="0092074C">
      <w:pPr>
        <w:pStyle w:val="Heading1"/>
      </w:pPr>
      <w:r w:rsidRPr="00DE356B">
        <w:lastRenderedPageBreak/>
        <w:t>412,249-401</w:t>
      </w:r>
      <w:r>
        <w:t>.5</w:t>
      </w:r>
      <w:r w:rsidRPr="00DE356B">
        <w:t xml:space="preserve"> </w:t>
      </w:r>
    </w:p>
    <w:p w:rsidR="00DB673C" w:rsidRDefault="00DB673C" w:rsidP="00FD4548">
      <w:pPr>
        <w:pStyle w:val="Heading2"/>
        <w:widowControl w:val="0"/>
      </w:pPr>
      <w:r w:rsidRPr="00DE356B">
        <w:t>Defendants Anita and Amy Brunsting’s Original Counter Claims</w:t>
      </w:r>
      <w:r>
        <w:t xml:space="preserve"> vs Candace</w:t>
      </w:r>
    </w:p>
    <w:p w:rsidR="00DB673C" w:rsidRPr="002F6AF4" w:rsidRDefault="00DB673C" w:rsidP="00FD4548">
      <w:pPr>
        <w:pStyle w:val="NumPara1"/>
        <w:widowControl w:val="0"/>
        <w:numPr>
          <w:ilvl w:val="0"/>
          <w:numId w:val="35"/>
        </w:numPr>
      </w:pPr>
      <w:r w:rsidRPr="002F6AF4">
        <w:t>One or more of the causes of action asserted and/or declarations sought by Candace trigger forfeiture provisions.</w:t>
      </w:r>
    </w:p>
    <w:p w:rsidR="00DB673C" w:rsidRDefault="00DB673C" w:rsidP="00FD4548">
      <w:pPr>
        <w:pStyle w:val="NumPara1"/>
        <w:widowControl w:val="0"/>
      </w:pPr>
      <w:r w:rsidRPr="002F6AF4">
        <w:t>One or more of the motions, responses, and/or replies filed by Curtis tri</w:t>
      </w:r>
      <w:r>
        <w:t>gger the Forfeiture provisions;</w:t>
      </w:r>
    </w:p>
    <w:p w:rsidR="00DB673C" w:rsidRDefault="00DB673C" w:rsidP="00FD4548">
      <w:pPr>
        <w:pStyle w:val="NumPara1"/>
        <w:widowControl w:val="0"/>
      </w:pPr>
      <w:r w:rsidRPr="002F6AF4">
        <w:t>Curtis did not have just cause to bring the action, and it</w:t>
      </w:r>
      <w:r>
        <w:t xml:space="preserve"> was not brought in good faith;</w:t>
      </w:r>
    </w:p>
    <w:p w:rsidR="00DB673C" w:rsidRDefault="00DB673C" w:rsidP="00FD4548">
      <w:pPr>
        <w:pStyle w:val="NumPara1"/>
        <w:widowControl w:val="0"/>
      </w:pPr>
      <w:r w:rsidRPr="002F6AF4">
        <w:t>Curtis has forfeited her interest, and thus her interest passes as if sh</w:t>
      </w:r>
      <w:r>
        <w:t>e has predeceased the Founders;</w:t>
      </w:r>
    </w:p>
    <w:p w:rsidR="00DB673C" w:rsidRDefault="00DB673C" w:rsidP="00FD4548">
      <w:pPr>
        <w:pStyle w:val="NumPara1"/>
        <w:widowControl w:val="0"/>
      </w:pPr>
      <w:r w:rsidRPr="002F6AF4">
        <w:t>If Curtis has not forfeited her interest via asserting any of the identified claims, and is or becomes entitled to receive any interest in the Founders' estate, then Amy's and Anita's expenses in defending against Curtis' claims are to be charged against her interest dollar-for-dollar;</w:t>
      </w:r>
    </w:p>
    <w:p w:rsidR="00DB673C" w:rsidRPr="007414AF" w:rsidRDefault="00DB673C" w:rsidP="00FD4548">
      <w:pPr>
        <w:pStyle w:val="NumPara1"/>
        <w:widowControl w:val="0"/>
      </w:pPr>
      <w:r w:rsidRPr="002F6AF4">
        <w:t>All expenses incurred by Amy and Anita to legally defend against or otherwise resist the contest or attack by Carl and/or Curtis are to be paid from the Trust as expenses of administration.</w:t>
      </w:r>
    </w:p>
    <w:p w:rsidR="00361BF9" w:rsidRDefault="00361BF9" w:rsidP="00FD4548">
      <w:pPr>
        <w:widowControl w:val="0"/>
        <w:spacing w:before="0" w:after="0"/>
        <w:rPr>
          <w:szCs w:val="24"/>
        </w:rPr>
      </w:pPr>
    </w:p>
    <w:p w:rsidR="00BB3308" w:rsidRDefault="00DB673C" w:rsidP="00FD4548">
      <w:pPr>
        <w:widowControl w:val="0"/>
        <w:spacing w:before="0" w:after="0"/>
        <w:rPr>
          <w:rFonts w:cstheme="majorBidi"/>
          <w:b/>
          <w:bCs/>
          <w:sz w:val="26"/>
          <w:szCs w:val="26"/>
        </w:rPr>
      </w:pPr>
      <w:r w:rsidRPr="00F95C32">
        <w:rPr>
          <w:szCs w:val="24"/>
        </w:rPr>
        <w:t>If Defendant</w:t>
      </w:r>
      <w:r>
        <w:rPr>
          <w:szCs w:val="24"/>
        </w:rPr>
        <w:t>’</w:t>
      </w:r>
      <w:r w:rsidRPr="00F95C32">
        <w:rPr>
          <w:szCs w:val="24"/>
        </w:rPr>
        <w:t xml:space="preserve">s did not have counter claims </w:t>
      </w:r>
      <w:r>
        <w:rPr>
          <w:szCs w:val="24"/>
        </w:rPr>
        <w:t xml:space="preserve">available </w:t>
      </w:r>
      <w:r w:rsidRPr="00F95C32">
        <w:rPr>
          <w:szCs w:val="24"/>
        </w:rPr>
        <w:t>when they filed their original answers, they did</w:t>
      </w:r>
      <w:r w:rsidR="00BB3308">
        <w:rPr>
          <w:szCs w:val="24"/>
        </w:rPr>
        <w:t xml:space="preserve"> </w:t>
      </w:r>
      <w:r w:rsidRPr="00F95C32">
        <w:rPr>
          <w:szCs w:val="24"/>
        </w:rPr>
        <w:t>n</w:t>
      </w:r>
      <w:r w:rsidR="00BB3308">
        <w:rPr>
          <w:szCs w:val="24"/>
        </w:rPr>
        <w:t>o</w:t>
      </w:r>
      <w:r w:rsidRPr="00F95C32">
        <w:rPr>
          <w:szCs w:val="24"/>
        </w:rPr>
        <w:t xml:space="preserve">t develop </w:t>
      </w:r>
      <w:r w:rsidR="00361BF9">
        <w:rPr>
          <w:szCs w:val="24"/>
        </w:rPr>
        <w:t>counter claims</w:t>
      </w:r>
      <w:r w:rsidRPr="00F95C32">
        <w:rPr>
          <w:szCs w:val="24"/>
        </w:rPr>
        <w:t xml:space="preserve"> in the course of ignoring the fiduciary obligations of the office </w:t>
      </w:r>
      <w:r>
        <w:rPr>
          <w:szCs w:val="24"/>
        </w:rPr>
        <w:t xml:space="preserve">of trustee </w:t>
      </w:r>
      <w:r w:rsidRPr="00F95C32">
        <w:rPr>
          <w:szCs w:val="24"/>
        </w:rPr>
        <w:t xml:space="preserve">for </w:t>
      </w:r>
      <w:r w:rsidR="00361BF9">
        <w:rPr>
          <w:szCs w:val="24"/>
        </w:rPr>
        <w:t xml:space="preserve">more than </w:t>
      </w:r>
      <w:r w:rsidRPr="00F95C32">
        <w:rPr>
          <w:szCs w:val="24"/>
        </w:rPr>
        <w:t>eight years.</w:t>
      </w:r>
      <w:r w:rsidR="007414AF">
        <w:rPr>
          <w:szCs w:val="24"/>
        </w:rPr>
        <w:t xml:space="preserve"> Defendants do not have any claims against Carl and do not have any claims against Candace</w:t>
      </w:r>
      <w:r w:rsidR="00361BF9">
        <w:rPr>
          <w:szCs w:val="24"/>
        </w:rPr>
        <w:t xml:space="preserve"> but have only demonstrated the disloyal intention they had from the onset</w:t>
      </w:r>
      <w:r w:rsidR="007414AF">
        <w:rPr>
          <w:szCs w:val="24"/>
        </w:rPr>
        <w:t xml:space="preserve">. </w:t>
      </w:r>
    </w:p>
    <w:p w:rsidR="00D2774A" w:rsidRDefault="00D2774A" w:rsidP="00FD4548">
      <w:pPr>
        <w:widowControl w:val="0"/>
        <w:spacing w:before="0" w:after="0" w:line="240" w:lineRule="auto"/>
        <w:ind w:firstLine="0"/>
        <w:rPr>
          <w:rFonts w:cstheme="majorBidi"/>
          <w:b/>
          <w:bCs/>
          <w:sz w:val="26"/>
          <w:szCs w:val="26"/>
        </w:rPr>
      </w:pPr>
    </w:p>
    <w:p w:rsidR="00361BF9" w:rsidRDefault="00361BF9">
      <w:pPr>
        <w:spacing w:before="0" w:after="0" w:line="240" w:lineRule="auto"/>
        <w:ind w:firstLine="0"/>
        <w:rPr>
          <w:rFonts w:eastAsiaTheme="majorEastAsia"/>
          <w:b/>
          <w:szCs w:val="32"/>
        </w:rPr>
      </w:pPr>
      <w:r>
        <w:br w:type="page"/>
      </w:r>
    </w:p>
    <w:p w:rsidR="00C76450" w:rsidRPr="00C76450" w:rsidRDefault="00D2774A" w:rsidP="00C76450">
      <w:pPr>
        <w:pStyle w:val="Heading1"/>
      </w:pPr>
      <w:r w:rsidRPr="00C76450">
        <w:lastRenderedPageBreak/>
        <w:t xml:space="preserve">412,249-402 </w:t>
      </w:r>
    </w:p>
    <w:p w:rsidR="00D2774A" w:rsidRPr="00E5067E" w:rsidRDefault="00D2774A" w:rsidP="00FD4548">
      <w:pPr>
        <w:pStyle w:val="Heading2"/>
        <w:widowControl w:val="0"/>
        <w:rPr>
          <w:rFonts w:eastAsia="Calibri"/>
        </w:rPr>
      </w:pPr>
      <w:r w:rsidRPr="00E5067E">
        <w:t xml:space="preserve">Candace Louise Curtis vs </w:t>
      </w:r>
      <w:r w:rsidRPr="00E5067E">
        <w:rPr>
          <w:rFonts w:eastAsia="Calibri"/>
        </w:rPr>
        <w:t>Anita Brunsting, Amy Brunsting and Does 1-100 filed U.S. District Court No. 4:12-cv-592 on 2/27/201</w:t>
      </w:r>
      <w:r w:rsidR="00935696">
        <w:rPr>
          <w:rFonts w:eastAsia="Calibri"/>
        </w:rPr>
        <w:t>2</w:t>
      </w:r>
    </w:p>
    <w:p w:rsidR="00D2774A" w:rsidRDefault="00D2774A" w:rsidP="00FD4548">
      <w:pPr>
        <w:pStyle w:val="NumPara1"/>
        <w:widowControl w:val="0"/>
        <w:numPr>
          <w:ilvl w:val="0"/>
          <w:numId w:val="47"/>
        </w:numPr>
      </w:pPr>
      <w:r w:rsidRPr="00E852A7">
        <w:t xml:space="preserve">Breach of Fiduciary Duties, </w:t>
      </w:r>
    </w:p>
    <w:p w:rsidR="00D2774A" w:rsidRDefault="00D2774A" w:rsidP="00FD4548">
      <w:pPr>
        <w:pStyle w:val="NumPara1"/>
        <w:widowControl w:val="0"/>
        <w:numPr>
          <w:ilvl w:val="1"/>
          <w:numId w:val="30"/>
        </w:numPr>
      </w:pPr>
      <w:r>
        <w:t xml:space="preserve">there is fiduciary relationship between the plaintiff and defendant; </w:t>
      </w:r>
    </w:p>
    <w:p w:rsidR="00D2774A" w:rsidRDefault="00D2774A" w:rsidP="00FD4548">
      <w:pPr>
        <w:pStyle w:val="NumPara1"/>
        <w:widowControl w:val="0"/>
        <w:numPr>
          <w:ilvl w:val="1"/>
          <w:numId w:val="30"/>
        </w:numPr>
      </w:pPr>
      <w:r>
        <w:t xml:space="preserve">the defendant breached his fiduciary duty to the plaintiff; and </w:t>
      </w:r>
    </w:p>
    <w:p w:rsidR="00D2774A" w:rsidRPr="00E852A7" w:rsidRDefault="00D2774A" w:rsidP="00FD4548">
      <w:pPr>
        <w:pStyle w:val="NumPara1"/>
        <w:widowControl w:val="0"/>
        <w:numPr>
          <w:ilvl w:val="1"/>
          <w:numId w:val="30"/>
        </w:numPr>
      </w:pPr>
      <w:proofErr w:type="gramStart"/>
      <w:r>
        <w:t>the</w:t>
      </w:r>
      <w:proofErr w:type="gramEnd"/>
      <w:r>
        <w:t xml:space="preserve"> defendant's breach proximately caused injury to the plaintiff or benefit to the defendant.</w:t>
      </w:r>
    </w:p>
    <w:p w:rsidR="00D2774A" w:rsidRDefault="00D2774A" w:rsidP="00FD4548">
      <w:pPr>
        <w:pStyle w:val="NumPara1"/>
        <w:widowControl w:val="0"/>
      </w:pPr>
      <w:r w:rsidRPr="001F71C1">
        <w:t xml:space="preserve">Constructive Fraud, </w:t>
      </w:r>
      <w:r>
        <w:t>(Subset of breach and not a separate cause of action)</w:t>
      </w:r>
    </w:p>
    <w:p w:rsidR="00D2774A" w:rsidRPr="001F71C1" w:rsidRDefault="00D2774A" w:rsidP="00FD4548">
      <w:pPr>
        <w:pStyle w:val="NumPara1"/>
        <w:widowControl w:val="0"/>
        <w:numPr>
          <w:ilvl w:val="1"/>
          <w:numId w:val="30"/>
        </w:numPr>
      </w:pPr>
      <w:r>
        <w:t>Constructive fraud is a breach of a legal or equitable duty that the law declares fraudulent, irrespective of moral guilt, because it tends to deceive others, violate confidences, or injure public interests. </w:t>
      </w:r>
      <w:r w:rsidRPr="0046522A">
        <w:t>Constructive fraud, by its very definition, does not include an overt act.</w:t>
      </w:r>
    </w:p>
    <w:p w:rsidR="00D2774A" w:rsidRDefault="00D2774A" w:rsidP="00FD4548">
      <w:pPr>
        <w:pStyle w:val="NumPara1"/>
        <w:widowControl w:val="0"/>
      </w:pPr>
      <w:r w:rsidRPr="001F71C1">
        <w:t xml:space="preserve">Extrinsic Fraud, </w:t>
      </w:r>
      <w:r>
        <w:t>(Subset of breach and not a separate cause of action)</w:t>
      </w:r>
    </w:p>
    <w:p w:rsidR="00D2774A" w:rsidRPr="001F71C1" w:rsidRDefault="00D2774A" w:rsidP="00FD4548">
      <w:pPr>
        <w:pStyle w:val="NumPara1"/>
        <w:widowControl w:val="0"/>
        <w:numPr>
          <w:ilvl w:val="1"/>
          <w:numId w:val="30"/>
        </w:numPr>
      </w:pPr>
      <w:r w:rsidRPr="0046522A">
        <w:t>Fraudulent acts which keep a person from obtaining information about his/her rights to enforce a contract or getting evidence to defend against a lawsuit. This could include destroying evidence or misleading an ignorant person about the right to sue. Extrinsic fraud is distinguished from intrinsic fraud, which is the fraud that is the subject of a lawsuit</w:t>
      </w:r>
    </w:p>
    <w:p w:rsidR="00D2774A" w:rsidRDefault="00D2774A" w:rsidP="00FD4548">
      <w:pPr>
        <w:pStyle w:val="NumPara1"/>
        <w:widowControl w:val="0"/>
      </w:pPr>
      <w:r w:rsidRPr="001F71C1">
        <w:t>Intentional Infliction of Emotional Distress</w:t>
      </w:r>
      <w:r>
        <w:t xml:space="preserve">, a byproduct of breach and not a separate cause of action </w:t>
      </w:r>
    </w:p>
    <w:p w:rsidR="00D2774A" w:rsidRDefault="00D2774A" w:rsidP="00FD4548">
      <w:pPr>
        <w:pStyle w:val="NumPara1"/>
        <w:widowControl w:val="0"/>
        <w:numPr>
          <w:ilvl w:val="1"/>
          <w:numId w:val="30"/>
        </w:numPr>
      </w:pPr>
      <w:r w:rsidRPr="0046522A">
        <w:t>the defendant acted intentionally or recklessly;</w:t>
      </w:r>
    </w:p>
    <w:p w:rsidR="00D2774A" w:rsidRDefault="00D2774A" w:rsidP="00FD4548">
      <w:pPr>
        <w:pStyle w:val="NumPara1"/>
        <w:widowControl w:val="0"/>
        <w:numPr>
          <w:ilvl w:val="1"/>
          <w:numId w:val="30"/>
        </w:numPr>
      </w:pPr>
      <w:r w:rsidRPr="0046522A">
        <w:t xml:space="preserve">the defendant's conduct was extreme and outrageous; </w:t>
      </w:r>
    </w:p>
    <w:p w:rsidR="00D2774A" w:rsidRDefault="00D2774A" w:rsidP="00FD4548">
      <w:pPr>
        <w:pStyle w:val="NumPara1"/>
        <w:widowControl w:val="0"/>
        <w:numPr>
          <w:ilvl w:val="1"/>
          <w:numId w:val="30"/>
        </w:numPr>
      </w:pPr>
      <w:r w:rsidRPr="0046522A">
        <w:t xml:space="preserve">the conduct caused the plaintiff emotional distress; and </w:t>
      </w:r>
    </w:p>
    <w:p w:rsidR="00D2774A" w:rsidRDefault="00D2774A" w:rsidP="00FD4548">
      <w:pPr>
        <w:pStyle w:val="NumPara1"/>
        <w:widowControl w:val="0"/>
        <w:numPr>
          <w:ilvl w:val="1"/>
          <w:numId w:val="30"/>
        </w:numPr>
      </w:pPr>
      <w:r w:rsidRPr="0046522A">
        <w:t>the emotional distress was severe</w:t>
      </w:r>
    </w:p>
    <w:p w:rsidR="00D2774A" w:rsidRDefault="00D2774A" w:rsidP="00FD4548">
      <w:pPr>
        <w:pStyle w:val="NoSpacing"/>
        <w:keepNext w:val="0"/>
        <w:widowControl w:val="0"/>
      </w:pPr>
      <w:r>
        <w:t>Intentional infliction of emotional distress is a "gap-filler" tort applicable only when "a defendant intentionally inflicts severe emotional distress in a manner so unusual that the victim has no other recognized theory of redress.</w:t>
      </w:r>
    </w:p>
    <w:p w:rsidR="00D2774A" w:rsidRDefault="00D2774A" w:rsidP="00FD4548">
      <w:pPr>
        <w:widowControl w:val="0"/>
        <w:rPr>
          <w:rFonts w:eastAsia="Calibri"/>
        </w:rPr>
      </w:pPr>
      <w:r w:rsidRPr="00271F21">
        <w:rPr>
          <w:rFonts w:eastAsia="Calibri"/>
        </w:rPr>
        <w:t>Defendant</w:t>
      </w:r>
      <w:r>
        <w:rPr>
          <w:rFonts w:eastAsia="Calibri"/>
        </w:rPr>
        <w:t xml:space="preserve"> </w:t>
      </w:r>
      <w:r w:rsidR="005D0F64">
        <w:t xml:space="preserve">Co-Trustees </w:t>
      </w:r>
      <w:r w:rsidRPr="00271F21">
        <w:rPr>
          <w:rFonts w:eastAsia="Calibri"/>
        </w:rPr>
        <w:t>Anita Kay Brunsting and Amy Ruth Brunsting</w:t>
      </w:r>
      <w:r>
        <w:rPr>
          <w:rFonts w:eastAsia="Calibri"/>
        </w:rPr>
        <w:t xml:space="preserve"> filed their original answers in </w:t>
      </w:r>
      <w:r w:rsidRPr="00271F21">
        <w:rPr>
          <w:rFonts w:eastAsia="Calibri"/>
        </w:rPr>
        <w:t>4:12-</w:t>
      </w:r>
      <w:proofErr w:type="gramStart"/>
      <w:r w:rsidRPr="00271F21">
        <w:rPr>
          <w:rFonts w:eastAsia="Calibri"/>
        </w:rPr>
        <w:t>cv-</w:t>
      </w:r>
      <w:proofErr w:type="gramEnd"/>
      <w:r w:rsidRPr="00271F21">
        <w:rPr>
          <w:rFonts w:eastAsia="Calibri"/>
        </w:rPr>
        <w:t xml:space="preserve">00592 </w:t>
      </w:r>
      <w:r>
        <w:rPr>
          <w:rFonts w:eastAsia="Calibri"/>
        </w:rPr>
        <w:t>[</w:t>
      </w:r>
      <w:r w:rsidRPr="00271F21">
        <w:rPr>
          <w:rFonts w:eastAsia="Calibri"/>
        </w:rPr>
        <w:t>D</w:t>
      </w:r>
      <w:r>
        <w:rPr>
          <w:rFonts w:eastAsia="Calibri"/>
        </w:rPr>
        <w:t>kt</w:t>
      </w:r>
      <w:r w:rsidRPr="00271F21">
        <w:rPr>
          <w:rFonts w:eastAsia="Calibri"/>
        </w:rPr>
        <w:t xml:space="preserve"> 29</w:t>
      </w:r>
      <w:r>
        <w:rPr>
          <w:rFonts w:eastAsia="Calibri"/>
        </w:rPr>
        <w:t>] jointly on March 1, 2013.</w:t>
      </w:r>
      <w:r w:rsidRPr="00271F21">
        <w:t xml:space="preserve"> </w:t>
      </w:r>
      <w:r>
        <w:rPr>
          <w:rFonts w:eastAsia="Calibri"/>
        </w:rPr>
        <w:t xml:space="preserve">Their original </w:t>
      </w:r>
      <w:r w:rsidRPr="00271F21">
        <w:rPr>
          <w:rFonts w:eastAsia="Calibri"/>
        </w:rPr>
        <w:t>answer</w:t>
      </w:r>
      <w:r>
        <w:rPr>
          <w:rFonts w:eastAsia="Calibri"/>
        </w:rPr>
        <w:t>s</w:t>
      </w:r>
      <w:r w:rsidRPr="00271F21">
        <w:rPr>
          <w:rFonts w:eastAsia="Calibri"/>
        </w:rPr>
        <w:t xml:space="preserve"> </w:t>
      </w:r>
      <w:r>
        <w:rPr>
          <w:rFonts w:eastAsia="Calibri"/>
        </w:rPr>
        <w:t xml:space="preserve">did not </w:t>
      </w:r>
      <w:r w:rsidRPr="00271F21">
        <w:rPr>
          <w:rFonts w:eastAsia="Calibri"/>
        </w:rPr>
        <w:t>raise a</w:t>
      </w:r>
      <w:r>
        <w:rPr>
          <w:rFonts w:eastAsia="Calibri"/>
        </w:rPr>
        <w:t>ny</w:t>
      </w:r>
      <w:r w:rsidRPr="00271F21">
        <w:rPr>
          <w:rFonts w:eastAsia="Calibri"/>
        </w:rPr>
        <w:t xml:space="preserve"> counter claim</w:t>
      </w:r>
      <w:r>
        <w:rPr>
          <w:rFonts w:eastAsia="Calibri"/>
        </w:rPr>
        <w:t>s</w:t>
      </w:r>
      <w:r w:rsidRPr="00271F21">
        <w:rPr>
          <w:rFonts w:eastAsia="Calibri"/>
        </w:rPr>
        <w:t>.</w:t>
      </w:r>
    </w:p>
    <w:p w:rsidR="00D2774A" w:rsidRDefault="00D2774A" w:rsidP="00FD4548">
      <w:pPr>
        <w:widowControl w:val="0"/>
        <w:spacing w:before="0" w:after="0"/>
        <w:ind w:firstLine="0"/>
        <w:rPr>
          <w:rFonts w:eastAsia="Calibri"/>
          <w:color w:val="auto"/>
        </w:rPr>
      </w:pPr>
      <w:r>
        <w:rPr>
          <w:rFonts w:eastAsia="Calibri"/>
          <w:color w:val="auto"/>
        </w:rPr>
        <w:t>Plaintiff Candace Curtis October 15, 2021 Addendum adds:</w:t>
      </w:r>
    </w:p>
    <w:p w:rsidR="00D2774A" w:rsidRDefault="00D2774A" w:rsidP="00FD4548">
      <w:pPr>
        <w:pStyle w:val="NumPara1"/>
        <w:widowControl w:val="0"/>
      </w:pPr>
      <w:r>
        <w:t>Money Had and Received</w:t>
      </w:r>
    </w:p>
    <w:p w:rsidR="00D2774A" w:rsidRDefault="00D2774A" w:rsidP="00FD4548">
      <w:pPr>
        <w:pStyle w:val="NumPara1"/>
        <w:widowControl w:val="0"/>
        <w:numPr>
          <w:ilvl w:val="1"/>
          <w:numId w:val="30"/>
        </w:numPr>
      </w:pPr>
      <w:r>
        <w:t>Money had and received is an equitable doctrine used to prevent unjust enrichment.</w:t>
      </w:r>
    </w:p>
    <w:p w:rsidR="00D2774A" w:rsidRDefault="00D2774A" w:rsidP="00FD4548">
      <w:pPr>
        <w:pStyle w:val="NumPara1"/>
        <w:widowControl w:val="0"/>
      </w:pPr>
      <w:r>
        <w:t>Conversion – Theft</w:t>
      </w:r>
    </w:p>
    <w:p w:rsidR="00D2774A" w:rsidRDefault="00D2774A" w:rsidP="00FD4548">
      <w:pPr>
        <w:pStyle w:val="NumPara1"/>
        <w:widowControl w:val="0"/>
        <w:numPr>
          <w:ilvl w:val="1"/>
          <w:numId w:val="30"/>
        </w:numPr>
      </w:pPr>
      <w:r w:rsidRPr="00B0545A">
        <w:lastRenderedPageBreak/>
        <w:t xml:space="preserve">Plaintiff owned, had legal  possession of, or was entitled to possession of the property; </w:t>
      </w:r>
    </w:p>
    <w:p w:rsidR="00D2774A" w:rsidRDefault="00D2774A" w:rsidP="00FD4548">
      <w:pPr>
        <w:pStyle w:val="NumPara1"/>
        <w:widowControl w:val="0"/>
        <w:numPr>
          <w:ilvl w:val="1"/>
          <w:numId w:val="30"/>
        </w:numPr>
      </w:pPr>
      <w:r w:rsidRPr="00B0545A">
        <w:t xml:space="preserve">Defendant assumed and exercised dominion and control over the property  in an unlawful and unauthorized manner, to the exclusion of and  inconsistent with plaintiff's rights; </w:t>
      </w:r>
    </w:p>
    <w:p w:rsidR="00D2774A" w:rsidRDefault="00D2774A" w:rsidP="00FD4548">
      <w:pPr>
        <w:pStyle w:val="NumPara1"/>
        <w:widowControl w:val="0"/>
        <w:numPr>
          <w:ilvl w:val="1"/>
          <w:numId w:val="30"/>
        </w:numPr>
      </w:pPr>
      <w:r w:rsidRPr="00B0545A">
        <w:t xml:space="preserve">Plaintiff made a demand for the property; </w:t>
      </w:r>
    </w:p>
    <w:p w:rsidR="00D2774A" w:rsidRDefault="00D2774A" w:rsidP="00FD4548">
      <w:pPr>
        <w:pStyle w:val="NumPara1"/>
        <w:widowControl w:val="0"/>
        <w:numPr>
          <w:ilvl w:val="1"/>
          <w:numId w:val="30"/>
        </w:numPr>
      </w:pPr>
      <w:r w:rsidRPr="00B0545A">
        <w:t>Defendant refused to return the property.</w:t>
      </w:r>
    </w:p>
    <w:p w:rsidR="00D2774A" w:rsidRPr="0046522A" w:rsidRDefault="00D2774A" w:rsidP="00FD4548">
      <w:pPr>
        <w:pStyle w:val="NumPara1"/>
        <w:widowControl w:val="0"/>
        <w:rPr>
          <w:strike/>
        </w:rPr>
      </w:pPr>
      <w:r w:rsidRPr="0046522A">
        <w:rPr>
          <w:strike/>
        </w:rPr>
        <w:t>Tortious interference with inheritance rights</w:t>
      </w:r>
    </w:p>
    <w:p w:rsidR="00D2774A" w:rsidRDefault="00D2774A" w:rsidP="00FD4548">
      <w:pPr>
        <w:pStyle w:val="NumPara1"/>
        <w:widowControl w:val="0"/>
      </w:pPr>
      <w:r>
        <w:t>Declaratory Judgement</w:t>
      </w:r>
    </w:p>
    <w:p w:rsidR="00D2774A" w:rsidRDefault="00D2774A" w:rsidP="00FD4548">
      <w:pPr>
        <w:pStyle w:val="NumPara1"/>
        <w:widowControl w:val="0"/>
      </w:pPr>
      <w:r>
        <w:t>In Terrorem allegations against the co-trustee defendants</w:t>
      </w:r>
    </w:p>
    <w:p w:rsidR="00D2774A" w:rsidRDefault="00D2774A" w:rsidP="00FD4548">
      <w:pPr>
        <w:widowControl w:val="0"/>
        <w:spacing w:before="0" w:after="0" w:line="240" w:lineRule="auto"/>
        <w:ind w:firstLine="0"/>
        <w:rPr>
          <w:rFonts w:cstheme="majorBidi"/>
          <w:b/>
          <w:bCs/>
          <w:sz w:val="26"/>
          <w:szCs w:val="26"/>
        </w:rPr>
      </w:pPr>
      <w:r>
        <w:br w:type="page"/>
      </w:r>
    </w:p>
    <w:p w:rsidR="00C76450" w:rsidRDefault="00DB673C" w:rsidP="00C76450">
      <w:pPr>
        <w:pStyle w:val="Heading1"/>
      </w:pPr>
      <w:r w:rsidRPr="00DE356B">
        <w:lastRenderedPageBreak/>
        <w:t>412,249-403</w:t>
      </w:r>
    </w:p>
    <w:p w:rsidR="00DB673C" w:rsidRPr="00DE356B" w:rsidRDefault="00DB673C" w:rsidP="00FD4548">
      <w:pPr>
        <w:pStyle w:val="Heading2"/>
        <w:widowControl w:val="0"/>
      </w:pPr>
      <w:proofErr w:type="gramStart"/>
      <w:r w:rsidRPr="00A82C76">
        <w:t>Independent Executor Carl Brunsting</w:t>
      </w:r>
      <w:r>
        <w:t xml:space="preserve"> vs Vacek &amp; Freed P.L.L.C.</w:t>
      </w:r>
      <w:proofErr w:type="gramEnd"/>
    </w:p>
    <w:p w:rsidR="007414AF" w:rsidRDefault="007414AF" w:rsidP="00FD4548">
      <w:pPr>
        <w:widowControl w:val="0"/>
        <w:rPr>
          <w:u w:val="single"/>
        </w:rPr>
      </w:pPr>
      <w:r w:rsidRPr="004A23C5">
        <w:t xml:space="preserve">Carl filed professional negligence claims </w:t>
      </w:r>
      <w:r w:rsidRPr="00F910D8">
        <w:t>in the District Court</w:t>
      </w:r>
      <w:r w:rsidRPr="004A23C5">
        <w:t xml:space="preserve"> in his fiduciary capacity as independent executor for the estates of Elmer and Nelva Brunsting</w:t>
      </w:r>
      <w:r w:rsidRPr="00F910D8">
        <w:t xml:space="preserve"> on January 29, 2013, three months </w:t>
      </w:r>
      <w:r w:rsidRPr="00F910D8">
        <w:rPr>
          <w:u w:val="single"/>
        </w:rPr>
        <w:t>before</w:t>
      </w:r>
      <w:r w:rsidRPr="00F910D8">
        <w:t xml:space="preserve"> </w:t>
      </w:r>
      <w:r>
        <w:t>related</w:t>
      </w:r>
      <w:r w:rsidRPr="00F910D8">
        <w:t xml:space="preserve"> claims were filed </w:t>
      </w:r>
      <w:r>
        <w:t xml:space="preserve">against all of the trust beneficiaries </w:t>
      </w:r>
      <w:r w:rsidRPr="00F910D8">
        <w:t xml:space="preserve">in the probate court. </w:t>
      </w:r>
      <w:r>
        <w:t xml:space="preserve">The </w:t>
      </w:r>
      <w:r w:rsidRPr="004A23C5">
        <w:t xml:space="preserve">professional negligence claims </w:t>
      </w:r>
      <w:r w:rsidRPr="00F910D8">
        <w:t>in the District Court</w:t>
      </w:r>
      <w:r>
        <w:t xml:space="preserve"> were ordered transferred to the probate court April 4, 2019 </w:t>
      </w:r>
      <w:r w:rsidRPr="00F910D8">
        <w:t>without a pending probate administration</w:t>
      </w:r>
      <w:r>
        <w:t>. The -403 case has</w:t>
      </w:r>
      <w:r w:rsidRPr="00F910D8">
        <w:t xml:space="preserve"> </w:t>
      </w:r>
      <w:r w:rsidRPr="00F910D8">
        <w:rPr>
          <w:b/>
          <w:u w:val="single"/>
        </w:rPr>
        <w:t>remain</w:t>
      </w:r>
      <w:r>
        <w:rPr>
          <w:b/>
          <w:u w:val="single"/>
        </w:rPr>
        <w:t>ed</w:t>
      </w:r>
      <w:r w:rsidRPr="00F910D8">
        <w:rPr>
          <w:b/>
          <w:u w:val="single"/>
        </w:rPr>
        <w:t xml:space="preserve"> without a plaintiff</w:t>
      </w:r>
      <w:r w:rsidRPr="007414AF">
        <w:t xml:space="preserve"> </w:t>
      </w:r>
      <w:r>
        <w:t>since Carl’s resignation on February 19, 2015</w:t>
      </w:r>
      <w:r w:rsidR="008F69DF">
        <w:t xml:space="preserve"> and so has the -401</w:t>
      </w:r>
      <w:r>
        <w:t>.</w:t>
      </w:r>
      <w:r w:rsidR="008F69DF">
        <w:t>2.</w:t>
      </w:r>
      <w:r>
        <w:t xml:space="preserve"> </w:t>
      </w:r>
    </w:p>
    <w:p w:rsidR="00DB673C" w:rsidRDefault="00DB673C" w:rsidP="00FD4548">
      <w:pPr>
        <w:pStyle w:val="NumPara1"/>
        <w:widowControl w:val="0"/>
        <w:numPr>
          <w:ilvl w:val="0"/>
          <w:numId w:val="36"/>
        </w:numPr>
      </w:pPr>
      <w:r w:rsidRPr="003F1AD9">
        <w:t xml:space="preserve">Professional negligence, </w:t>
      </w:r>
    </w:p>
    <w:p w:rsidR="00DB673C" w:rsidRPr="004805E5" w:rsidRDefault="00DB673C" w:rsidP="00FD4548">
      <w:pPr>
        <w:pStyle w:val="NumPara1"/>
        <w:widowControl w:val="0"/>
      </w:pPr>
      <w:r w:rsidRPr="004805E5">
        <w:t>Negligence Per Se- Violation of Texas Penal Code§ 32.43; Commercial Bribery</w:t>
      </w:r>
    </w:p>
    <w:p w:rsidR="00DB673C" w:rsidRPr="002F6AF4" w:rsidRDefault="00DB673C" w:rsidP="00FD4548">
      <w:pPr>
        <w:pStyle w:val="NumPara1"/>
        <w:widowControl w:val="0"/>
      </w:pPr>
      <w:r w:rsidRPr="002F6AF4">
        <w:t xml:space="preserve">Negligence </w:t>
      </w:r>
      <w:r w:rsidRPr="00F95C32">
        <w:rPr>
          <w:i/>
          <w:iCs/>
        </w:rPr>
        <w:t xml:space="preserve">Per Se- </w:t>
      </w:r>
      <w:r w:rsidRPr="002F6AF4">
        <w:t>Violation of Texas Penal Code §7.02(a)(2) &amp; (3); Criminal Responsibility for Conduct of Another</w:t>
      </w:r>
    </w:p>
    <w:p w:rsidR="00DB673C" w:rsidRPr="002F6AF4" w:rsidRDefault="00DB673C" w:rsidP="00FD4548">
      <w:pPr>
        <w:pStyle w:val="NumPara1"/>
        <w:widowControl w:val="0"/>
      </w:pPr>
      <w:r w:rsidRPr="002F6AF4">
        <w:t xml:space="preserve">Breach of Fiduciary Duty </w:t>
      </w:r>
    </w:p>
    <w:p w:rsidR="00DB673C" w:rsidRPr="002F6AF4" w:rsidRDefault="00DB673C" w:rsidP="00FD4548">
      <w:pPr>
        <w:pStyle w:val="NumPara1"/>
        <w:widowControl w:val="0"/>
      </w:pPr>
      <w:r w:rsidRPr="002F6AF4">
        <w:t>Negligent Misrepresentation</w:t>
      </w:r>
    </w:p>
    <w:p w:rsidR="00DB673C" w:rsidRPr="002F6AF4" w:rsidRDefault="00DB673C" w:rsidP="00FD4548">
      <w:pPr>
        <w:pStyle w:val="NumPara1"/>
        <w:widowControl w:val="0"/>
      </w:pPr>
      <w:r w:rsidRPr="002F6AF4">
        <w:t>Aiding &amp; Abetting Current Trustees' Breaches of Fiduciary Duty</w:t>
      </w:r>
    </w:p>
    <w:p w:rsidR="00DB673C" w:rsidRPr="002F6AF4" w:rsidRDefault="00DB673C" w:rsidP="00FD4548">
      <w:pPr>
        <w:pStyle w:val="NumPara1"/>
        <w:widowControl w:val="0"/>
      </w:pPr>
      <w:r w:rsidRPr="002F6AF4">
        <w:t>Assisting &amp; Encouraging</w:t>
      </w:r>
    </w:p>
    <w:p w:rsidR="00DB673C" w:rsidRPr="002F6AF4" w:rsidRDefault="00DB673C" w:rsidP="00FD4548">
      <w:pPr>
        <w:pStyle w:val="NumPara1"/>
        <w:widowControl w:val="0"/>
      </w:pPr>
      <w:r w:rsidRPr="002F6AF4">
        <w:t>Assisting &amp; Participating</w:t>
      </w:r>
    </w:p>
    <w:p w:rsidR="00DB673C" w:rsidRPr="002F6AF4" w:rsidRDefault="00DB673C" w:rsidP="00FD4548">
      <w:pPr>
        <w:pStyle w:val="NumPara1"/>
        <w:widowControl w:val="0"/>
      </w:pPr>
      <w:r w:rsidRPr="002F6AF4">
        <w:t>Concert of Action</w:t>
      </w:r>
    </w:p>
    <w:p w:rsidR="00DB673C" w:rsidRPr="002F6AF4" w:rsidRDefault="00DB673C" w:rsidP="00FD4548">
      <w:pPr>
        <w:pStyle w:val="NumPara1"/>
        <w:widowControl w:val="0"/>
      </w:pPr>
      <w:r w:rsidRPr="002F6AF4">
        <w:t>Fraud</w:t>
      </w:r>
    </w:p>
    <w:p w:rsidR="00DB673C" w:rsidRPr="002F6AF4" w:rsidRDefault="00DB673C" w:rsidP="00FD4548">
      <w:pPr>
        <w:pStyle w:val="NumPara1"/>
        <w:widowControl w:val="0"/>
      </w:pPr>
      <w:r w:rsidRPr="002F6AF4">
        <w:t>Conversion</w:t>
      </w:r>
    </w:p>
    <w:p w:rsidR="00DB673C" w:rsidRPr="002F6AF4" w:rsidRDefault="00DB673C" w:rsidP="00FD4548">
      <w:pPr>
        <w:pStyle w:val="NumPara1"/>
        <w:widowControl w:val="0"/>
      </w:pPr>
      <w:r w:rsidRPr="002F6AF4">
        <w:t>Conspiracy</w:t>
      </w:r>
    </w:p>
    <w:p w:rsidR="00DB673C" w:rsidRPr="002F6AF4" w:rsidRDefault="00DB673C" w:rsidP="00FD4548">
      <w:pPr>
        <w:pStyle w:val="NumPara1"/>
        <w:widowControl w:val="0"/>
      </w:pPr>
      <w:r w:rsidRPr="002F6AF4">
        <w:t>Deceptive Trade Practices</w:t>
      </w:r>
    </w:p>
    <w:p w:rsidR="00DB673C" w:rsidRPr="002F6AF4" w:rsidRDefault="00DB673C" w:rsidP="00FD4548">
      <w:pPr>
        <w:pStyle w:val="NumPara1"/>
        <w:widowControl w:val="0"/>
      </w:pPr>
      <w:r w:rsidRPr="002F6AF4">
        <w:t>Fraudulent Concealment</w:t>
      </w:r>
    </w:p>
    <w:p w:rsidR="00DB673C" w:rsidRPr="002F6AF4" w:rsidRDefault="00DB673C" w:rsidP="00FD4548">
      <w:pPr>
        <w:pStyle w:val="NumPara1"/>
        <w:widowControl w:val="0"/>
      </w:pPr>
      <w:r w:rsidRPr="002F6AF4">
        <w:t>Actual Damages</w:t>
      </w:r>
    </w:p>
    <w:p w:rsidR="00DB673C" w:rsidRPr="002F6AF4" w:rsidRDefault="00DB673C" w:rsidP="00FD4548">
      <w:pPr>
        <w:pStyle w:val="NumPara1"/>
        <w:widowControl w:val="0"/>
      </w:pPr>
      <w:r w:rsidRPr="002F6AF4">
        <w:t>Forfeiture of Fees</w:t>
      </w:r>
    </w:p>
    <w:p w:rsidR="00DB673C" w:rsidRPr="002F6AF4" w:rsidRDefault="00DB673C" w:rsidP="00FD4548">
      <w:pPr>
        <w:pStyle w:val="NumPara1"/>
        <w:widowControl w:val="0"/>
      </w:pPr>
      <w:r w:rsidRPr="002F6AF4">
        <w:t>Treble Damages</w:t>
      </w:r>
    </w:p>
    <w:p w:rsidR="00DB673C" w:rsidRPr="002F6AF4" w:rsidRDefault="00DB673C" w:rsidP="00FD4548">
      <w:pPr>
        <w:pStyle w:val="NumPara1"/>
        <w:widowControl w:val="0"/>
      </w:pPr>
      <w:r w:rsidRPr="002F6AF4">
        <w:t>Punitive Damages</w:t>
      </w:r>
    </w:p>
    <w:p w:rsidR="00DB673C" w:rsidRPr="002F6AF4" w:rsidRDefault="00DB673C" w:rsidP="00FD4548">
      <w:pPr>
        <w:pStyle w:val="NumPara1"/>
        <w:widowControl w:val="0"/>
      </w:pPr>
      <w:r w:rsidRPr="002F6AF4">
        <w:t>Attorney's Fees</w:t>
      </w:r>
    </w:p>
    <w:p w:rsidR="00DB673C" w:rsidRPr="002F6AF4" w:rsidRDefault="00DB673C" w:rsidP="00FD4548">
      <w:pPr>
        <w:pStyle w:val="NumPara1"/>
        <w:widowControl w:val="0"/>
      </w:pPr>
      <w:r w:rsidRPr="002F6AF4">
        <w:t>Prejudgment Interest</w:t>
      </w:r>
    </w:p>
    <w:p w:rsidR="00DB673C" w:rsidRDefault="00DB673C" w:rsidP="00FD4548">
      <w:pPr>
        <w:widowControl w:val="0"/>
        <w:spacing w:before="0" w:after="0"/>
        <w:ind w:firstLine="0"/>
      </w:pPr>
    </w:p>
    <w:p w:rsidR="00D2774A" w:rsidRDefault="008F69DF" w:rsidP="00FD4548">
      <w:pPr>
        <w:widowControl w:val="0"/>
        <w:spacing w:before="0" w:after="0" w:line="240" w:lineRule="auto"/>
        <w:ind w:firstLine="0"/>
        <w:rPr>
          <w:rFonts w:cstheme="majorBidi"/>
          <w:b/>
          <w:bCs/>
          <w:sz w:val="26"/>
          <w:szCs w:val="26"/>
        </w:rPr>
      </w:pPr>
      <w:r>
        <w:t>These claims explain the bait and switch front end but fail to explain the back end of the grift.</w:t>
      </w:r>
      <w:r w:rsidR="00D2774A">
        <w:br w:type="page"/>
      </w:r>
    </w:p>
    <w:p w:rsidR="00C76450" w:rsidRDefault="00DB673C" w:rsidP="00C76450">
      <w:pPr>
        <w:pStyle w:val="Heading1"/>
      </w:pPr>
      <w:r w:rsidRPr="009F3E5C">
        <w:lastRenderedPageBreak/>
        <w:t xml:space="preserve">412,249-404 </w:t>
      </w:r>
    </w:p>
    <w:p w:rsidR="00DB673C" w:rsidRDefault="00DB673C" w:rsidP="00FD4548">
      <w:pPr>
        <w:pStyle w:val="Heading2"/>
        <w:widowControl w:val="0"/>
      </w:pPr>
      <w:r w:rsidRPr="009F3E5C">
        <w:t>Plaintiff Curtis Statutory Bill of Review</w:t>
      </w:r>
      <w:r>
        <w:t xml:space="preserve"> re Statutory Probate Court Jurisdiction</w:t>
      </w:r>
    </w:p>
    <w:p w:rsidR="007414AF" w:rsidRPr="007414AF" w:rsidRDefault="007414AF" w:rsidP="00FD4548">
      <w:pPr>
        <w:widowControl w:val="0"/>
      </w:pPr>
      <w:r w:rsidRPr="007414AF">
        <w:t>District courts and statutory probate courts are the only courts with jurisdiction over trust proceedings. See Texas Property Code Ann. § 115.001</w:t>
      </w:r>
      <w:r w:rsidRPr="007414AF">
        <w:fldChar w:fldCharType="begin"/>
      </w:r>
      <w:r w:rsidRPr="007414AF">
        <w:instrText xml:space="preserve"> TA \l "Tex. Prop. § 115.001" \s "§ 115.001" \c 2 </w:instrText>
      </w:r>
      <w:r w:rsidRPr="007414AF">
        <w:fldChar w:fldCharType="end"/>
      </w:r>
      <w:r w:rsidRPr="007414AF">
        <w:t xml:space="preserve"> (West Supp. 2005); Schuele, 119 S.W.3d at 825</w:t>
      </w:r>
      <w:r w:rsidRPr="007414AF">
        <w:fldChar w:fldCharType="begin"/>
      </w:r>
      <w:r w:rsidRPr="007414AF">
        <w:instrText xml:space="preserve"> TA \l "Schuele, 119 S.W.3d at 825" \s "Schuele" \c 1 </w:instrText>
      </w:r>
      <w:r w:rsidRPr="007414AF">
        <w:fldChar w:fldCharType="end"/>
      </w:r>
      <w:r w:rsidRPr="007414AF">
        <w:t>. The jurisdiction of the District Court over trust proceedings is exclusive except for the authority granted to a pr</w:t>
      </w:r>
      <w:r w:rsidR="00EE5C3B">
        <w:t>obate court by Subsection (d):</w:t>
      </w:r>
    </w:p>
    <w:p w:rsidR="007414AF" w:rsidRPr="007414AF" w:rsidRDefault="007414AF" w:rsidP="00FD4548">
      <w:pPr>
        <w:pStyle w:val="Quote"/>
        <w:widowControl w:val="0"/>
      </w:pPr>
      <w:r w:rsidRPr="007414AF">
        <w:t>§ 115.001</w:t>
      </w:r>
      <w:r w:rsidRPr="007414AF">
        <w:fldChar w:fldCharType="begin"/>
      </w:r>
      <w:r w:rsidRPr="007414AF">
        <w:instrText xml:space="preserve"> TA \s "§ 115.001" </w:instrText>
      </w:r>
      <w:r w:rsidRPr="007414AF">
        <w:fldChar w:fldCharType="end"/>
      </w:r>
      <w:r w:rsidRPr="007414AF">
        <w:t xml:space="preserve"> (a) Except as provided by Subsection (d) of this section, a district court has original and exclusive jurisdiction over all proceedings by or against a trustee and all proceedings concerning trusts…</w:t>
      </w:r>
    </w:p>
    <w:p w:rsidR="00E10E21" w:rsidRDefault="007414AF" w:rsidP="00361BF9">
      <w:pPr>
        <w:widowControl w:val="0"/>
      </w:pPr>
      <w:r w:rsidRPr="007414AF">
        <w:t>The exception to the exclusive jurisdiction of the District Court provided by subsection § 115.001</w:t>
      </w:r>
      <w:r w:rsidRPr="007414AF">
        <w:fldChar w:fldCharType="begin"/>
      </w:r>
      <w:r w:rsidRPr="007414AF">
        <w:instrText xml:space="preserve"> TA \s "§ 115.001" </w:instrText>
      </w:r>
      <w:r w:rsidRPr="007414AF">
        <w:fldChar w:fldCharType="end"/>
      </w:r>
      <w:r w:rsidRPr="007414AF">
        <w:t xml:space="preserve"> (d) is limited to matters “</w:t>
      </w:r>
      <w:r w:rsidRPr="007414AF">
        <w:rPr>
          <w:i/>
        </w:rPr>
        <w:t>incident to an estate</w:t>
      </w:r>
      <w:r w:rsidRPr="007414AF">
        <w:t>” and apply only when a probate proceeding relating to such estate is actually “</w:t>
      </w:r>
      <w:r w:rsidRPr="007414AF">
        <w:rPr>
          <w:i/>
        </w:rPr>
        <w:t>pending</w:t>
      </w:r>
      <w:r w:rsidRPr="007414AF">
        <w:t xml:space="preserve">” in the probate court. See: </w:t>
      </w:r>
      <w:r w:rsidRPr="007414AF">
        <w:rPr>
          <w:i/>
        </w:rPr>
        <w:fldChar w:fldCharType="begin"/>
      </w:r>
      <w:r w:rsidRPr="007414AF">
        <w:rPr>
          <w:i/>
        </w:rPr>
        <w:instrText xml:space="preserve"> TA \l "Baker v. Baker NO. 02-18-00051-CV (Tex. App. Sep. 6, 2018)" \s "Baker v. Baker" \c 1 </w:instrText>
      </w:r>
      <w:r w:rsidRPr="007414AF">
        <w:rPr>
          <w:i/>
        </w:rPr>
        <w:fldChar w:fldCharType="end"/>
      </w:r>
      <w:r w:rsidRPr="007414AF">
        <w:rPr>
          <w:i/>
        </w:rPr>
        <w:t>Baker v. Baker NO. 02-18-00051-CV (Tex. App. Sep. 6, 2018</w:t>
      </w:r>
      <w:proofErr w:type="gramStart"/>
      <w:r w:rsidRPr="007414AF">
        <w:rPr>
          <w:i/>
        </w:rPr>
        <w:t>)</w:t>
      </w:r>
      <w:proofErr w:type="gramEnd"/>
      <w:r w:rsidRPr="007414AF">
        <w:rPr>
          <w:i/>
        </w:rPr>
        <w:fldChar w:fldCharType="begin"/>
      </w:r>
      <w:r w:rsidRPr="007414AF">
        <w:rPr>
          <w:i/>
        </w:rPr>
        <w:instrText xml:space="preserve"> TA \s "Baker v. Baker" </w:instrText>
      </w:r>
      <w:r w:rsidRPr="007414AF">
        <w:rPr>
          <w:i/>
        </w:rPr>
        <w:fldChar w:fldCharType="end"/>
      </w:r>
      <w:r w:rsidRPr="007414AF">
        <w:rPr>
          <w:i/>
        </w:rPr>
        <w:t>(emphasis added)</w:t>
      </w:r>
      <w:r w:rsidRPr="007414AF">
        <w:t xml:space="preserve"> There was no probate administration actually pending in the probate court when Carl filed the 412249-401 case on 4/09/2013</w:t>
      </w:r>
      <w:r w:rsidR="00E10E21">
        <w:t>. Further filing in the probate court after the recording of the will and the return of an inventory, appraisement and list of claims was a violation of very specific directives in the Wills thus converting an independent administration of a closed probate into a dependent administration of a living trust. Carl’s counsel filed conspiracy and professional negligence claims against the disloyal estate planning attorneys in the District Court</w:t>
      </w:r>
      <w:r w:rsidRPr="007414AF">
        <w:t xml:space="preserve"> </w:t>
      </w:r>
      <w:r w:rsidR="00E10E21">
        <w:t>and then filed conspiracy and other claims against the “suckers”, including the greedy beneficiaries the disloyal estate planning attorneys baited in order to disrupt the estate plan, thus opening the door that facilitated the generational asset transfer intercepting litigation.</w:t>
      </w:r>
    </w:p>
    <w:p w:rsidR="00361BF9" w:rsidRDefault="00361BF9">
      <w:pPr>
        <w:spacing w:before="0" w:after="0" w:line="240" w:lineRule="auto"/>
        <w:ind w:firstLine="0"/>
        <w:rPr>
          <w:rFonts w:eastAsiaTheme="majorEastAsia"/>
          <w:b/>
          <w:szCs w:val="32"/>
        </w:rPr>
      </w:pPr>
      <w:r>
        <w:br w:type="page"/>
      </w:r>
    </w:p>
    <w:p w:rsidR="00DB673C" w:rsidRDefault="00EE5C3B" w:rsidP="00C76450">
      <w:pPr>
        <w:pStyle w:val="Heading1"/>
      </w:pPr>
      <w:r>
        <w:lastRenderedPageBreak/>
        <w:t xml:space="preserve">The Notion of </w:t>
      </w:r>
      <w:r w:rsidR="00DB673C">
        <w:t>Sever</w:t>
      </w:r>
      <w:r w:rsidR="000B3C3A">
        <w:t>ing</w:t>
      </w:r>
    </w:p>
    <w:p w:rsidR="007539FE" w:rsidRDefault="00DB673C" w:rsidP="00FD4548">
      <w:pPr>
        <w:widowControl w:val="0"/>
      </w:pPr>
      <w:r w:rsidRPr="00846207">
        <w:t>Plaintiff</w:t>
      </w:r>
      <w:r w:rsidR="00BF424A">
        <w:t xml:space="preserve"> </w:t>
      </w:r>
      <w:r w:rsidRPr="00846207">
        <w:t xml:space="preserve">Carl Brunsting and the Defendant Co-Trustees </w:t>
      </w:r>
      <w:r w:rsidR="00EB5BDC">
        <w:t xml:space="preserve">(the fiduciaries), </w:t>
      </w:r>
      <w:r>
        <w:t>are</w:t>
      </w:r>
      <w:r w:rsidRPr="00846207">
        <w:t xml:space="preserve"> seek</w:t>
      </w:r>
      <w:r>
        <w:t>ing</w:t>
      </w:r>
      <w:r w:rsidRPr="00846207">
        <w:t xml:space="preserve"> </w:t>
      </w:r>
      <w:r>
        <w:t>to</w:t>
      </w:r>
      <w:r w:rsidRPr="00846207">
        <w:t xml:space="preserve"> sever their respective claims </w:t>
      </w:r>
      <w:r>
        <w:t>against each other and create a separate lawsuit</w:t>
      </w:r>
      <w:r w:rsidR="00EB5BDC">
        <w:t xml:space="preserve">. </w:t>
      </w:r>
    </w:p>
    <w:p w:rsidR="00DB673C" w:rsidRDefault="00EB5BDC" w:rsidP="007539FE">
      <w:pPr>
        <w:pStyle w:val="NoSpacing"/>
      </w:pPr>
      <w:r>
        <w:t>T</w:t>
      </w:r>
      <w:r w:rsidR="00DB673C">
        <w:t>he</w:t>
      </w:r>
      <w:r w:rsidR="007539FE">
        <w:t xml:space="preserve"> fiduciaries</w:t>
      </w:r>
      <w:r w:rsidR="00DB673C">
        <w:t xml:space="preserve"> want to separate from</w:t>
      </w:r>
      <w:r w:rsidR="007539FE">
        <w:t>:</w:t>
      </w:r>
      <w:r w:rsidR="00DB673C">
        <w:t xml:space="preserve"> </w:t>
      </w:r>
    </w:p>
    <w:p w:rsidR="000B3C3A" w:rsidRDefault="00E10E21" w:rsidP="00FD4548">
      <w:pPr>
        <w:pStyle w:val="NumPara1"/>
        <w:widowControl w:val="0"/>
        <w:numPr>
          <w:ilvl w:val="0"/>
          <w:numId w:val="37"/>
        </w:numPr>
      </w:pPr>
      <w:r>
        <w:t>The p</w:t>
      </w:r>
      <w:r w:rsidR="000B3C3A">
        <w:t>reliminary federal injunction</w:t>
      </w:r>
      <w:r>
        <w:t xml:space="preserve"> </w:t>
      </w:r>
      <w:r w:rsidR="00EB5BDC">
        <w:t xml:space="preserve">restraining the co-trustee defendants </w:t>
      </w:r>
      <w:r w:rsidR="007539FE">
        <w:t>from “wasting” the trust assets.</w:t>
      </w:r>
    </w:p>
    <w:p w:rsidR="00EB5BDC" w:rsidRDefault="00EB5BDC" w:rsidP="00EB5BDC">
      <w:pPr>
        <w:pStyle w:val="NumPara1"/>
        <w:widowControl w:val="0"/>
        <w:numPr>
          <w:ilvl w:val="1"/>
          <w:numId w:val="37"/>
        </w:numPr>
      </w:pPr>
      <w:r>
        <w:t>T</w:t>
      </w:r>
      <w:r w:rsidRPr="00EB5BDC">
        <w:t xml:space="preserve">he </w:t>
      </w:r>
      <w:r>
        <w:t>c</w:t>
      </w:r>
      <w:r w:rsidRPr="00EB5BDC">
        <w:t>o-trustee defendants</w:t>
      </w:r>
      <w:r>
        <w:t xml:space="preserve"> refuse to perform the </w:t>
      </w:r>
      <w:r w:rsidR="007539FE">
        <w:t xml:space="preserve">injunctions </w:t>
      </w:r>
      <w:r>
        <w:t xml:space="preserve">affirmative command to deposit income into an appropriate account for the beneficiary </w:t>
      </w:r>
      <w:r w:rsidR="00361BF9">
        <w:t xml:space="preserve">to avoid excess taxes </w:t>
      </w:r>
      <w:r>
        <w:t>while</w:t>
      </w:r>
      <w:r w:rsidR="007539FE">
        <w:t>,</w:t>
      </w:r>
      <w:r>
        <w:t xml:space="preserve"> at the same time</w:t>
      </w:r>
      <w:r w:rsidR="007539FE">
        <w:t>,</w:t>
      </w:r>
      <w:r>
        <w:t xml:space="preserve"> using its prohibitions against wasting the assets as an excuse for not performing a court ordered distribution to beneficiary Carole Brunsting</w:t>
      </w:r>
      <w:r w:rsidR="007539FE">
        <w:t>,</w:t>
      </w:r>
      <w:r>
        <w:t xml:space="preserve"> within the allotted time frame.</w:t>
      </w:r>
    </w:p>
    <w:p w:rsidR="007539FE" w:rsidRDefault="007539FE" w:rsidP="007539FE">
      <w:pPr>
        <w:pStyle w:val="NoSpacing"/>
      </w:pPr>
      <w:r>
        <w:t xml:space="preserve">The fiduciaries want to separate from: </w:t>
      </w:r>
    </w:p>
    <w:p w:rsidR="00DB673C" w:rsidRDefault="007539FE" w:rsidP="00FD4548">
      <w:pPr>
        <w:pStyle w:val="NumPara1"/>
        <w:widowControl w:val="0"/>
        <w:numPr>
          <w:ilvl w:val="0"/>
          <w:numId w:val="37"/>
        </w:numPr>
      </w:pPr>
      <w:r>
        <w:t>Breach of fiduciary c</w:t>
      </w:r>
      <w:r w:rsidR="00DB673C">
        <w:t xml:space="preserve">laims Candace filed against the </w:t>
      </w:r>
      <w:r w:rsidR="00DB673C" w:rsidRPr="00846207">
        <w:t>Defendant Co-Trustees</w:t>
      </w:r>
    </w:p>
    <w:p w:rsidR="00DB673C" w:rsidRDefault="00DB673C" w:rsidP="00FD4548">
      <w:pPr>
        <w:pStyle w:val="NumPara1"/>
        <w:widowControl w:val="0"/>
      </w:pPr>
      <w:r>
        <w:t xml:space="preserve">Carl’s individual claims against the </w:t>
      </w:r>
      <w:r w:rsidRPr="00846207">
        <w:t>Defendant Co-Trustees</w:t>
      </w:r>
      <w:r>
        <w:t xml:space="preserve"> and Carole</w:t>
      </w:r>
    </w:p>
    <w:p w:rsidR="00DB673C" w:rsidRDefault="00DB673C" w:rsidP="00FD4548">
      <w:pPr>
        <w:pStyle w:val="NumPara1"/>
        <w:widowControl w:val="0"/>
      </w:pPr>
      <w:r>
        <w:t xml:space="preserve">The Independent Executor’s claims against the </w:t>
      </w:r>
      <w:r w:rsidRPr="00846207">
        <w:t xml:space="preserve">Defendant Co-Trustees </w:t>
      </w:r>
      <w:r>
        <w:t>and Carole</w:t>
      </w:r>
    </w:p>
    <w:p w:rsidR="00DB673C" w:rsidRDefault="00DB673C" w:rsidP="00FD4548">
      <w:pPr>
        <w:pStyle w:val="NumPara1"/>
        <w:widowControl w:val="0"/>
      </w:pPr>
      <w:r>
        <w:t>Trust beneficiary Carole’s claims against Carl, the</w:t>
      </w:r>
      <w:r w:rsidR="00EB5BDC">
        <w:t xml:space="preserve"> former</w:t>
      </w:r>
      <w:r>
        <w:t xml:space="preserve"> Independent Executor </w:t>
      </w:r>
    </w:p>
    <w:p w:rsidR="00DB673C" w:rsidRDefault="00DB673C" w:rsidP="00FD4548">
      <w:pPr>
        <w:pStyle w:val="NumPara1"/>
        <w:widowControl w:val="0"/>
      </w:pPr>
      <w:r>
        <w:t xml:space="preserve">The </w:t>
      </w:r>
      <w:r w:rsidRPr="00846207">
        <w:t>Defendant Co-Trustee</w:t>
      </w:r>
      <w:r w:rsidR="00BF424A">
        <w:t>/</w:t>
      </w:r>
      <w:r>
        <w:t>beneficiarie</w:t>
      </w:r>
      <w:r w:rsidRPr="00846207">
        <w:t>s</w:t>
      </w:r>
      <w:r>
        <w:t xml:space="preserve"> counter claims against beneficiary Candace </w:t>
      </w:r>
    </w:p>
    <w:p w:rsidR="00EB5BDC" w:rsidRDefault="00DB673C" w:rsidP="00FD4548">
      <w:pPr>
        <w:pStyle w:val="NumPara1"/>
        <w:widowControl w:val="0"/>
      </w:pPr>
      <w:r>
        <w:t xml:space="preserve">The </w:t>
      </w:r>
      <w:r w:rsidRPr="00846207">
        <w:t>Defendant Co-Trustee</w:t>
      </w:r>
      <w:r w:rsidR="00BF424A">
        <w:t>/</w:t>
      </w:r>
      <w:r>
        <w:t>beneficiarie</w:t>
      </w:r>
      <w:r w:rsidRPr="00846207">
        <w:t>s</w:t>
      </w:r>
      <w:r>
        <w:t xml:space="preserve"> counter claims against beneficiary Carl</w:t>
      </w:r>
    </w:p>
    <w:p w:rsidR="00B9675D" w:rsidRDefault="00B9675D" w:rsidP="007539FE">
      <w:pPr>
        <w:pStyle w:val="NumPara1"/>
        <w:widowControl w:val="0"/>
        <w:numPr>
          <w:ilvl w:val="0"/>
          <w:numId w:val="0"/>
        </w:numPr>
      </w:pPr>
    </w:p>
    <w:p w:rsidR="00EB5BDC" w:rsidRDefault="00B9675D" w:rsidP="007539FE">
      <w:pPr>
        <w:pStyle w:val="NumPara1"/>
        <w:widowControl w:val="0"/>
        <w:numPr>
          <w:ilvl w:val="0"/>
          <w:numId w:val="0"/>
        </w:numPr>
      </w:pPr>
      <w:r>
        <w:t>Relevant Trust History</w:t>
      </w:r>
    </w:p>
    <w:p w:rsidR="007539FE" w:rsidRDefault="007539FE" w:rsidP="007539FE">
      <w:pPr>
        <w:pStyle w:val="ListParagraph"/>
        <w:widowControl w:val="0"/>
        <w:numPr>
          <w:ilvl w:val="0"/>
          <w:numId w:val="48"/>
        </w:numPr>
        <w:spacing w:before="0" w:after="0" w:line="240" w:lineRule="auto"/>
        <w:ind w:left="360"/>
        <w:textboxTightWrap w:val="allLines"/>
      </w:pPr>
      <w:r>
        <w:t xml:space="preserve">1996 Family Trust – Settlors </w:t>
      </w:r>
      <w:r w:rsidR="005D0F64">
        <w:t>Co-Trustees</w:t>
      </w:r>
      <w:r>
        <w:t xml:space="preserve"> - Anita sole successor trustee [Divide by 5 at the passing of the last settlor]</w:t>
      </w:r>
    </w:p>
    <w:p w:rsidR="007539FE" w:rsidRDefault="007539FE" w:rsidP="007539FE">
      <w:pPr>
        <w:pStyle w:val="ListParagraph"/>
        <w:widowControl w:val="0"/>
        <w:numPr>
          <w:ilvl w:val="0"/>
          <w:numId w:val="48"/>
        </w:numPr>
        <w:spacing w:before="0" w:after="0" w:line="240" w:lineRule="auto"/>
        <w:ind w:left="360"/>
        <w:textboxTightWrap w:val="allLines"/>
      </w:pPr>
      <w:r>
        <w:t>1999 Irrevocable Life Insurance Trust - Anita sole trustee [Divide by 5 at the passing of the last settlor]</w:t>
      </w:r>
    </w:p>
    <w:p w:rsidR="007539FE" w:rsidRDefault="007539FE" w:rsidP="007539FE">
      <w:pPr>
        <w:pStyle w:val="ListParagraph"/>
        <w:widowControl w:val="0"/>
        <w:numPr>
          <w:ilvl w:val="0"/>
          <w:numId w:val="48"/>
        </w:numPr>
        <w:spacing w:before="0" w:after="0" w:line="240" w:lineRule="auto"/>
        <w:ind w:left="360"/>
        <w:textboxTightWrap w:val="allLines"/>
      </w:pPr>
      <w:r>
        <w:t xml:space="preserve">2005 Restatement – Settlors </w:t>
      </w:r>
      <w:r w:rsidR="005D0F64">
        <w:t>Co-Trustees</w:t>
      </w:r>
      <w:r>
        <w:t xml:space="preserve"> – Anita removed from Article IV – Carl and Amy successor </w:t>
      </w:r>
      <w:r w:rsidR="005D0F64">
        <w:t>Co-Trustees</w:t>
      </w:r>
      <w:r>
        <w:t xml:space="preserve"> with Candace as the alternate - [Divide by 5 at the passing of the last settlor]</w:t>
      </w:r>
    </w:p>
    <w:p w:rsidR="007539FE" w:rsidRDefault="007539FE" w:rsidP="007539FE">
      <w:pPr>
        <w:pStyle w:val="ListParagraph"/>
        <w:widowControl w:val="0"/>
        <w:numPr>
          <w:ilvl w:val="0"/>
          <w:numId w:val="48"/>
        </w:numPr>
        <w:spacing w:before="0" w:after="0" w:line="240" w:lineRule="auto"/>
        <w:ind w:left="360"/>
        <w:textboxTightWrap w:val="allLines"/>
      </w:pPr>
      <w:r>
        <w:t xml:space="preserve">2007 Amendment – Settlors </w:t>
      </w:r>
      <w:r w:rsidR="005D0F64">
        <w:t>Co-Trustees</w:t>
      </w:r>
      <w:r>
        <w:t xml:space="preserve"> – Amy removed from Article IV – Carl and Candace successor </w:t>
      </w:r>
      <w:r w:rsidR="005D0F64">
        <w:t>Co-Trustees</w:t>
      </w:r>
      <w:r>
        <w:t xml:space="preserve"> with Frost Bank as the alternate - [Divide by 5 at the passing of the last settlor]</w:t>
      </w:r>
    </w:p>
    <w:p w:rsidR="007539FE" w:rsidRDefault="007539FE" w:rsidP="007539FE">
      <w:pPr>
        <w:pStyle w:val="ListParagraph"/>
        <w:widowControl w:val="0"/>
        <w:numPr>
          <w:ilvl w:val="0"/>
          <w:numId w:val="48"/>
        </w:numPr>
        <w:spacing w:before="0" w:after="0" w:line="240" w:lineRule="auto"/>
        <w:ind w:left="360"/>
        <w:textboxTightWrap w:val="allLines"/>
      </w:pPr>
      <w:r>
        <w:t xml:space="preserve">June 9, 2008 Elmer N.C.M. - Family Trust becomes irrevocable and all changes require approval from Court of Competent Jurisdiction. </w:t>
      </w:r>
    </w:p>
    <w:p w:rsidR="007539FE" w:rsidRPr="000051AB" w:rsidRDefault="007539FE" w:rsidP="007539FE">
      <w:pPr>
        <w:pStyle w:val="ListParagraph"/>
        <w:widowControl w:val="0"/>
        <w:numPr>
          <w:ilvl w:val="0"/>
          <w:numId w:val="48"/>
        </w:numPr>
        <w:spacing w:before="0" w:after="0" w:line="240" w:lineRule="auto"/>
        <w:ind w:left="360"/>
        <w:textboxTightWrap w:val="allLines"/>
      </w:pPr>
      <w:r>
        <w:t xml:space="preserve">July 1, 2008 Amendment to Article IV – Anita and Carl successor </w:t>
      </w:r>
      <w:r w:rsidR="005D0F64">
        <w:t xml:space="preserve">Co-Trustees </w:t>
      </w:r>
      <w:r>
        <w:t>with Candace as the alternate.</w:t>
      </w:r>
      <w:r w:rsidRPr="000051AB">
        <w:t xml:space="preserve"> </w:t>
      </w:r>
      <w:r>
        <w:t>This</w:t>
      </w:r>
      <w:r w:rsidRPr="000051AB">
        <w:t xml:space="preserve"> Instrument</w:t>
      </w:r>
      <w:r>
        <w:t xml:space="preserve"> does not</w:t>
      </w:r>
      <w:r w:rsidRPr="000051AB">
        <w:t xml:space="preserve"> meet the Article III criterion for alterations </w:t>
      </w:r>
      <w:r>
        <w:t>and is invalid in its entirety.</w:t>
      </w:r>
      <w:r w:rsidRPr="000051AB">
        <w:t xml:space="preserve"> </w:t>
      </w:r>
    </w:p>
    <w:p w:rsidR="007539FE" w:rsidRDefault="007539FE" w:rsidP="007539FE">
      <w:pPr>
        <w:pStyle w:val="ListParagraph"/>
        <w:widowControl w:val="0"/>
        <w:numPr>
          <w:ilvl w:val="0"/>
          <w:numId w:val="48"/>
        </w:numPr>
        <w:spacing w:before="0" w:after="0" w:line="240" w:lineRule="auto"/>
        <w:ind w:left="360"/>
        <w:textboxTightWrap w:val="allLines"/>
      </w:pPr>
      <w:r>
        <w:t>April 1, 2009 Elmer Brunsting passes and the passing of a Settlor was a qualifying event that triggered the separation of assets into two resulting trusts. The Decedents Irrevocable Trust [DIT] and the Survivors Revocable Trust</w:t>
      </w:r>
      <w:r w:rsidR="001D45D1">
        <w:t xml:space="preserve"> [SRT].</w:t>
      </w:r>
      <w:bookmarkStart w:id="1" w:name="_GoBack"/>
      <w:bookmarkEnd w:id="1"/>
    </w:p>
    <w:p w:rsidR="007539FE" w:rsidRDefault="007539FE" w:rsidP="007539FE">
      <w:pPr>
        <w:pStyle w:val="ListParagraph"/>
        <w:widowControl w:val="0"/>
        <w:numPr>
          <w:ilvl w:val="0"/>
          <w:numId w:val="48"/>
        </w:numPr>
        <w:spacing w:before="0" w:after="0" w:line="240" w:lineRule="auto"/>
        <w:ind w:left="360"/>
        <w:textboxTightWrap w:val="allLines"/>
      </w:pPr>
      <w:r>
        <w:rPr>
          <w:color w:val="44546A" w:themeColor="text2"/>
        </w:rPr>
        <w:t xml:space="preserve">August 25, 2010 </w:t>
      </w:r>
      <w:r>
        <w:t xml:space="preserve">Amendment to Article IV - changed to Anita and Amy successor </w:t>
      </w:r>
      <w:r w:rsidR="005D0F64">
        <w:t>Co-</w:t>
      </w:r>
      <w:r w:rsidR="005D0F64">
        <w:lastRenderedPageBreak/>
        <w:t>Trustees</w:t>
      </w:r>
      <w:r>
        <w:t xml:space="preserve"> with Frost Bank as the alternate – Carl Removed </w:t>
      </w:r>
    </w:p>
    <w:p w:rsidR="007539FE" w:rsidRDefault="007539FE" w:rsidP="007539FE">
      <w:pPr>
        <w:pStyle w:val="ListParagraph"/>
        <w:widowControl w:val="0"/>
        <w:numPr>
          <w:ilvl w:val="0"/>
          <w:numId w:val="48"/>
        </w:numPr>
        <w:spacing w:before="0" w:after="0" w:line="240" w:lineRule="auto"/>
        <w:ind w:left="360"/>
        <w:textboxTightWrap w:val="allLines"/>
      </w:pPr>
      <w:r>
        <w:rPr>
          <w:color w:val="44546A" w:themeColor="text2"/>
        </w:rPr>
        <w:t xml:space="preserve">August 25, 2010 Qualified Beneficiary Designation - </w:t>
      </w:r>
      <w:r>
        <w:t xml:space="preserve">- [Divide by 5 at the passing of the last settlor] Anita, Amy &amp; Carole trustees of their own 1/5 share – Anita &amp; Amy </w:t>
      </w:r>
      <w:r w:rsidR="005D0F64">
        <w:t>Co-Trustees</w:t>
      </w:r>
      <w:r>
        <w:t xml:space="preserve"> for Carl and Candace Shares. If valid, this QBD could only apply to Nelva’s share.</w:t>
      </w:r>
    </w:p>
    <w:p w:rsidR="007539FE" w:rsidRDefault="007539FE" w:rsidP="007539FE">
      <w:pPr>
        <w:pStyle w:val="ListParagraph"/>
        <w:widowControl w:val="0"/>
        <w:numPr>
          <w:ilvl w:val="0"/>
          <w:numId w:val="48"/>
        </w:numPr>
        <w:spacing w:before="0" w:after="0" w:line="240" w:lineRule="auto"/>
        <w:ind w:left="360"/>
        <w:textboxTightWrap w:val="allLines"/>
      </w:pPr>
      <w:r>
        <w:t xml:space="preserve">November 11, 2011 was the passing of Nelva Brunsting, </w:t>
      </w:r>
      <w:r w:rsidRPr="000051AB">
        <w:t>a qualifying event that triggered the separation of assets into</w:t>
      </w:r>
      <w:r>
        <w:t xml:space="preserve"> five shares and that’s a focal point. </w:t>
      </w:r>
    </w:p>
    <w:p w:rsidR="007539FE" w:rsidRDefault="007539FE" w:rsidP="007539FE">
      <w:pPr>
        <w:pStyle w:val="NumPara1"/>
        <w:widowControl w:val="0"/>
        <w:numPr>
          <w:ilvl w:val="0"/>
          <w:numId w:val="0"/>
        </w:numPr>
      </w:pPr>
    </w:p>
    <w:p w:rsidR="007539FE" w:rsidRDefault="00B9675D" w:rsidP="00B9675D">
      <w:r>
        <w:t xml:space="preserve">The incapacity of Elmer Brunsting was a qualifying event because changes to the trust agreement required the signatures of both Settlors. The passing of </w:t>
      </w:r>
      <w:r>
        <w:t>Elmer Brunsting was a qualifying event because</w:t>
      </w:r>
      <w:r>
        <w:t xml:space="preserve"> it triggered the provisions requiring the division of assets into two separate shares. </w:t>
      </w:r>
      <w:r w:rsidRPr="00B9675D">
        <w:t xml:space="preserve">The passing of </w:t>
      </w:r>
      <w:r>
        <w:t>Nelva</w:t>
      </w:r>
      <w:r w:rsidRPr="00B9675D">
        <w:t xml:space="preserve"> Brunsting was a qualifying event because </w:t>
      </w:r>
      <w:r>
        <w:t>it triggered the provisions requiring the division of assets</w:t>
      </w:r>
      <w:r w:rsidRPr="00B9675D">
        <w:t xml:space="preserve"> into </w:t>
      </w:r>
      <w:r>
        <w:t>five</w:t>
      </w:r>
      <w:r w:rsidRPr="00B9675D">
        <w:t xml:space="preserve"> separate shares</w:t>
      </w:r>
      <w:r>
        <w:t xml:space="preserve">, whether you look at the 1996 trust, the 2005 restatement or the 8/25/2010 QBD. </w:t>
      </w:r>
    </w:p>
    <w:p w:rsidR="00B9675D" w:rsidRDefault="00B9675D" w:rsidP="00B9675D">
      <w:r>
        <w:t xml:space="preserve">Any argument over whether the </w:t>
      </w:r>
      <w:r w:rsidR="000B37D6">
        <w:t xml:space="preserve">Co-Trustees </w:t>
      </w:r>
      <w:r>
        <w:t>occupy the office de jure or de facto is irrelevant to the obligation to perform the duties of the office they occupy. Among the obligations of the office was to divide the trust estate by five and distribute each share at the passing of the second Settlor. How the shares were to be managed after Nelva’s passing is irrelevant to the obligation to perform the division</w:t>
      </w:r>
      <w:r w:rsidR="00B61F70">
        <w:t>s</w:t>
      </w:r>
      <w:r>
        <w:t xml:space="preserve"> required</w:t>
      </w:r>
      <w:r w:rsidR="00B61F70">
        <w:t>. However, the question of whether or not those divisions were performed is core to any question of subsequent management</w:t>
      </w:r>
      <w:r>
        <w:t xml:space="preserve">. </w:t>
      </w:r>
    </w:p>
    <w:p w:rsidR="00B61F70" w:rsidRDefault="00B9675D" w:rsidP="00B9675D">
      <w:r>
        <w:t xml:space="preserve">  Without addressing any issue of validity </w:t>
      </w:r>
      <w:r w:rsidR="00B61F70">
        <w:t xml:space="preserve">of transactions or instruments and without addressing </w:t>
      </w:r>
      <w:r>
        <w:t>the question of whether the QBD applies to Elmer’s share, Nelva’s share</w:t>
      </w:r>
      <w:r w:rsidR="00B61F70">
        <w:t xml:space="preserve">, neither </w:t>
      </w:r>
      <w:r>
        <w:t>or both shares</w:t>
      </w:r>
      <w:r w:rsidR="00B61F70">
        <w:t>,</w:t>
      </w:r>
      <w:r>
        <w:t xml:space="preserve"> let’s look at what t</w:t>
      </w:r>
      <w:r w:rsidR="00B61F70">
        <w:t>he QBD</w:t>
      </w:r>
      <w:r>
        <w:t xml:space="preserve"> claims to do. The QBD requires the </w:t>
      </w:r>
      <w:r w:rsidR="000B37D6">
        <w:t>Co-Trustees</w:t>
      </w:r>
      <w:r>
        <w:t xml:space="preserve"> to divide the assets and distribute those assets </w:t>
      </w:r>
      <w:r w:rsidR="00B61F70">
        <w:t>in</w:t>
      </w:r>
      <w:r>
        <w:t xml:space="preserve">to five separate “personal asset trusts” [PAT]. </w:t>
      </w:r>
      <w:r w:rsidR="00B61F70">
        <w:t>Did they?</w:t>
      </w:r>
    </w:p>
    <w:p w:rsidR="00B9675D" w:rsidRDefault="00B9675D" w:rsidP="00B9675D">
      <w:r>
        <w:lastRenderedPageBreak/>
        <w:t xml:space="preserve">According to the QBD’s terms Amy, Anita and Carole would be the </w:t>
      </w:r>
      <w:r w:rsidR="00B61F70">
        <w:t xml:space="preserve">sole </w:t>
      </w:r>
      <w:r>
        <w:t xml:space="preserve">trustee for </w:t>
      </w:r>
      <w:r w:rsidR="00B61F70">
        <w:t xml:space="preserve">each of </w:t>
      </w:r>
      <w:r>
        <w:t xml:space="preserve">their PAT’s but Amy and Anita would be </w:t>
      </w:r>
      <w:r w:rsidR="000B37D6">
        <w:t>Co-Trustees</w:t>
      </w:r>
      <w:r>
        <w:t xml:space="preserve"> for Carl and Candace PAT’s. </w:t>
      </w:r>
    </w:p>
    <w:p w:rsidR="00B9675D" w:rsidRDefault="00B9675D" w:rsidP="00B9675D">
      <w:r>
        <w:t>A trust is a relationship</w:t>
      </w:r>
      <w:r w:rsidR="00B61F70">
        <w:t xml:space="preserve"> and f</w:t>
      </w:r>
      <w:r>
        <w:t>or a trust relationship to exist the separation of legal and equitable title must be maintained, Texas Property Code § 112.034. When legal and equitable titles are held by the same person merger occurs</w:t>
      </w:r>
      <w:r w:rsidR="00B61F70">
        <w:t>,</w:t>
      </w:r>
      <w:r>
        <w:t xml:space="preserve"> the trust collapses because no trust relationship exists</w:t>
      </w:r>
      <w:r w:rsidR="00B61F70">
        <w:t xml:space="preserve"> and the </w:t>
      </w:r>
      <w:r>
        <w:t xml:space="preserve">assets are held </w:t>
      </w:r>
      <w:r w:rsidR="00B61F70">
        <w:t xml:space="preserve">by the beneficiary </w:t>
      </w:r>
      <w:r>
        <w:t xml:space="preserve">in the beneficiary’s individual capacity </w:t>
      </w:r>
      <w:r w:rsidR="00B61F70">
        <w:t>where they are not</w:t>
      </w:r>
      <w:r>
        <w:t xml:space="preserve"> protected. </w:t>
      </w:r>
    </w:p>
    <w:p w:rsidR="00B61F70" w:rsidRDefault="00B9675D" w:rsidP="00B9675D">
      <w:r>
        <w:t xml:space="preserve">The current </w:t>
      </w:r>
      <w:r w:rsidR="000B37D6">
        <w:t>Co-Trustees</w:t>
      </w:r>
      <w:r>
        <w:t xml:space="preserve"> have not divided the assets and according to their own argument Carole’s share </w:t>
      </w:r>
      <w:r w:rsidR="00B61F70">
        <w:t xml:space="preserve">vested entirely in Carole at the passing of Nelva Brunsting November 11, 2011 </w:t>
      </w:r>
      <w:r>
        <w:t>and</w:t>
      </w:r>
      <w:r w:rsidR="00B61F70">
        <w:t>,</w:t>
      </w:r>
      <w:r>
        <w:t xml:space="preserve"> the Defendant </w:t>
      </w:r>
      <w:r w:rsidR="000B37D6">
        <w:t>Co-Trustees</w:t>
      </w:r>
      <w:r>
        <w:t xml:space="preserve"> </w:t>
      </w:r>
      <w:r w:rsidR="00B61F70">
        <w:t xml:space="preserve">have been </w:t>
      </w:r>
      <w:r>
        <w:t xml:space="preserve">in wrongful possession of Carole </w:t>
      </w:r>
      <w:r w:rsidR="00B61F70">
        <w:t xml:space="preserve">Brunsting’s share of the trust property for more than ten years. </w:t>
      </w:r>
    </w:p>
    <w:p w:rsidR="007539FE" w:rsidRDefault="00B61F70" w:rsidP="0092074C">
      <w:pPr>
        <w:spacing w:after="120"/>
      </w:pPr>
      <w:r>
        <w:t xml:space="preserve">According to Defendants QBD </w:t>
      </w:r>
      <w:r w:rsidR="00B9675D">
        <w:t xml:space="preserve">the Defendant </w:t>
      </w:r>
      <w:r w:rsidR="000B37D6">
        <w:t>Co-Trustees</w:t>
      </w:r>
      <w:r w:rsidR="00B9675D">
        <w:t xml:space="preserve"> own their own shares outright </w:t>
      </w:r>
      <w:r>
        <w:t>and,</w:t>
      </w:r>
      <w:r w:rsidR="00B9675D">
        <w:t xml:space="preserve"> </w:t>
      </w:r>
      <w:r w:rsidR="00B9675D" w:rsidRPr="0092074C">
        <w:t>claim to hold Carl and Candace share in trust</w:t>
      </w:r>
      <w:r w:rsidRPr="0092074C">
        <w:t xml:space="preserve">. If this is the case the Defendant </w:t>
      </w:r>
      <w:r w:rsidR="000B37D6">
        <w:t>Co-Trustees</w:t>
      </w:r>
      <w:r w:rsidRPr="0092074C">
        <w:t xml:space="preserve"> f</w:t>
      </w:r>
      <w:r w:rsidR="00B9675D" w:rsidRPr="0092074C">
        <w:t xml:space="preserve">ailure to separate the </w:t>
      </w:r>
      <w:r w:rsidRPr="0092074C">
        <w:t xml:space="preserve">trust </w:t>
      </w:r>
      <w:r w:rsidR="00B9675D" w:rsidRPr="0092074C">
        <w:t xml:space="preserve">assets from their own </w:t>
      </w:r>
      <w:r w:rsidRPr="0092074C">
        <w:t xml:space="preserve">shares </w:t>
      </w:r>
      <w:r w:rsidR="00B9675D" w:rsidRPr="0092074C">
        <w:t xml:space="preserve">is misapplication and co-mingling. </w:t>
      </w:r>
    </w:p>
    <w:p w:rsidR="00DB673C" w:rsidRPr="0092074C" w:rsidRDefault="00DB673C" w:rsidP="0092074C">
      <w:pPr>
        <w:pStyle w:val="Heading1"/>
      </w:pPr>
      <w:r w:rsidRPr="0092074C">
        <w:t>QUI BONO?</w:t>
      </w:r>
    </w:p>
    <w:p w:rsidR="0028519E" w:rsidRDefault="00361BF9" w:rsidP="00B9675D">
      <w:r w:rsidRPr="00361BF9">
        <w:t xml:space="preserve">Breach of fiduciary is a civil claim where </w:t>
      </w:r>
      <w:r w:rsidR="007735A6">
        <w:t>a defendant has</w:t>
      </w:r>
      <w:r w:rsidRPr="00361BF9">
        <w:t xml:space="preserve"> no right to remain silent </w:t>
      </w:r>
      <w:r w:rsidR="0028519E">
        <w:t xml:space="preserve">but to the contrary, </w:t>
      </w:r>
      <w:r w:rsidR="007735A6">
        <w:t xml:space="preserve">a fiduciary defendant </w:t>
      </w:r>
      <w:r w:rsidRPr="00361BF9">
        <w:t>has a duty to speak</w:t>
      </w:r>
      <w:r w:rsidR="0028519E">
        <w:t>. A</w:t>
      </w:r>
      <w:r w:rsidR="007735A6">
        <w:t>t</w:t>
      </w:r>
      <w:r w:rsidRPr="00361BF9">
        <w:t xml:space="preserve"> the same </w:t>
      </w:r>
      <w:r w:rsidR="007735A6">
        <w:t xml:space="preserve">time the same </w:t>
      </w:r>
      <w:r w:rsidRPr="00361BF9">
        <w:t>facts create cause for public prosecution under the Texas Penal Code.</w:t>
      </w:r>
      <w:r>
        <w:t xml:space="preserve"> </w:t>
      </w:r>
      <w:r w:rsidR="0028519E" w:rsidRPr="0028519E">
        <w:t xml:space="preserve">Texas has several criminal statutes that define when fiduciary actions become criminal acts and Texas law treats the misapplication of assets held in a fiduciary capacity much differently than a generic theft. </w:t>
      </w:r>
    </w:p>
    <w:p w:rsidR="0028519E" w:rsidRDefault="0028519E" w:rsidP="0028519E">
      <w:pPr>
        <w:pStyle w:val="NoSpacing"/>
      </w:pPr>
      <w:r>
        <w:lastRenderedPageBreak/>
        <w:t>Under Texas Penal Code § 32.45(a</w:t>
      </w:r>
      <w:proofErr w:type="gramStart"/>
      <w:r>
        <w:t>)(</w:t>
      </w:r>
      <w:proofErr w:type="gramEnd"/>
      <w:r>
        <w:t>1), the term “fiduciary” is described as:</w:t>
      </w:r>
    </w:p>
    <w:p w:rsidR="0028519E" w:rsidRDefault="0028519E" w:rsidP="0028519E">
      <w:pPr>
        <w:pStyle w:val="Quote"/>
      </w:pPr>
      <w:r>
        <w:t xml:space="preserve">(A) </w:t>
      </w:r>
      <w:proofErr w:type="gramStart"/>
      <w:r>
        <w:t>a</w:t>
      </w:r>
      <w:proofErr w:type="gramEnd"/>
      <w:r>
        <w:t xml:space="preserve"> trustee, guardian, administrator, executor, conservator, and receiver;</w:t>
      </w:r>
    </w:p>
    <w:p w:rsidR="0028519E" w:rsidRDefault="0028519E" w:rsidP="0028519E">
      <w:pPr>
        <w:pStyle w:val="Quote"/>
      </w:pPr>
      <w:r>
        <w:t>(B) an attorney in fact or agent appointed under a durable power of attorney as provided by Subtitle P, Title 2, Estates Code;</w:t>
      </w:r>
    </w:p>
    <w:p w:rsidR="0028519E" w:rsidRDefault="0028519E" w:rsidP="0028519E">
      <w:pPr>
        <w:pStyle w:val="Quote"/>
      </w:pPr>
      <w:r>
        <w:t xml:space="preserve">(C) any other person acting in a fiduciary capacity, but not a commercial </w:t>
      </w:r>
      <w:proofErr w:type="spellStart"/>
      <w:r>
        <w:t>bailee</w:t>
      </w:r>
      <w:proofErr w:type="spellEnd"/>
      <w:r>
        <w:t xml:space="preserve"> unless the commercial </w:t>
      </w:r>
      <w:proofErr w:type="spellStart"/>
      <w:r>
        <w:t>bailee</w:t>
      </w:r>
      <w:proofErr w:type="spellEnd"/>
      <w:r>
        <w:t xml:space="preserve"> is a party in a motor fuel sales agreement with a distributor or supplier, as those terms are defined by Section 162.001, Tax Code; and</w:t>
      </w:r>
    </w:p>
    <w:p w:rsidR="0028519E" w:rsidRDefault="0028519E" w:rsidP="0028519E">
      <w:pPr>
        <w:pStyle w:val="Quote"/>
      </w:pPr>
      <w:r>
        <w:t xml:space="preserve">(D) </w:t>
      </w:r>
      <w:proofErr w:type="gramStart"/>
      <w:r>
        <w:t>an</w:t>
      </w:r>
      <w:proofErr w:type="gramEnd"/>
      <w:r>
        <w:t xml:space="preserve"> officer, manager, employee, or agent carrying on fiduciary functions on behalf of a fiduciary.</w:t>
      </w:r>
    </w:p>
    <w:p w:rsidR="00DB673C" w:rsidRDefault="00DB673C" w:rsidP="00B9675D">
      <w:r>
        <w:t xml:space="preserve">What specific claims, subtracted from what ancillary cause(s), or ancillary sub-causes, will this separate lawsuit be composed of? What new and unique facts will distinguish the </w:t>
      </w:r>
      <w:r w:rsidR="00B11AD4">
        <w:t>amputated</w:t>
      </w:r>
      <w:r>
        <w:t xml:space="preserve"> portion from what is left behind? What </w:t>
      </w:r>
      <w:r w:rsidR="0028519E">
        <w:t xml:space="preserve">claims and personas </w:t>
      </w:r>
      <w:r>
        <w:t xml:space="preserve">will be left behind? Will severance help clarify the issues and aid the Court in resolving the existing controversy or will it just remanufacture the non-probate Frankensuit into conjoined </w:t>
      </w:r>
      <w:r w:rsidR="00361BF9">
        <w:t xml:space="preserve">paper dolls </w:t>
      </w:r>
      <w:r>
        <w:t>in a more Pyrrhic menagerie than what has already been contrived?</w:t>
      </w:r>
    </w:p>
    <w:p w:rsidR="0028519E" w:rsidRDefault="0028519E" w:rsidP="00B9675D"/>
    <w:p w:rsidR="00BF424A" w:rsidRDefault="00BF424A" w:rsidP="00FD4548">
      <w:pPr>
        <w:widowControl w:val="0"/>
        <w:spacing w:before="0" w:after="0"/>
        <w:ind w:firstLine="0"/>
      </w:pPr>
    </w:p>
    <w:sectPr w:rsidR="00BF424A">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6E35" w:rsidRDefault="00346E35" w:rsidP="00103501">
      <w:pPr>
        <w:spacing w:before="0" w:after="0" w:line="240" w:lineRule="auto"/>
      </w:pPr>
      <w:r>
        <w:separator/>
      </w:r>
    </w:p>
  </w:endnote>
  <w:endnote w:type="continuationSeparator" w:id="0">
    <w:p w:rsidR="00346E35" w:rsidRDefault="00346E35" w:rsidP="0010350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5405125"/>
      <w:docPartObj>
        <w:docPartGallery w:val="Page Numbers (Bottom of Page)"/>
        <w:docPartUnique/>
      </w:docPartObj>
    </w:sdtPr>
    <w:sdtEndPr>
      <w:rPr>
        <w:noProof/>
      </w:rPr>
    </w:sdtEndPr>
    <w:sdtContent>
      <w:p w:rsidR="007539FE" w:rsidRDefault="007539FE">
        <w:pPr>
          <w:pStyle w:val="Footer"/>
          <w:jc w:val="center"/>
        </w:pPr>
        <w:r>
          <w:fldChar w:fldCharType="begin"/>
        </w:r>
        <w:r>
          <w:instrText xml:space="preserve"> PAGE   \* MERGEFORMAT </w:instrText>
        </w:r>
        <w:r>
          <w:fldChar w:fldCharType="separate"/>
        </w:r>
        <w:r w:rsidR="001D45D1">
          <w:rPr>
            <w:noProof/>
          </w:rPr>
          <w:t>21</w:t>
        </w:r>
        <w:r>
          <w:rPr>
            <w:noProof/>
          </w:rPr>
          <w:fldChar w:fldCharType="end"/>
        </w:r>
      </w:p>
    </w:sdtContent>
  </w:sdt>
  <w:p w:rsidR="007539FE" w:rsidRDefault="007539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6E35" w:rsidRPr="0093474F" w:rsidRDefault="00346E35" w:rsidP="0093474F">
      <w:pPr>
        <w:pStyle w:val="Footer"/>
        <w:ind w:firstLine="0"/>
      </w:pPr>
    </w:p>
  </w:footnote>
  <w:footnote w:type="continuationSeparator" w:id="0">
    <w:p w:rsidR="00346E35" w:rsidRDefault="00346E35" w:rsidP="00103501">
      <w:pPr>
        <w:spacing w:before="0" w:after="0" w:line="240" w:lineRule="auto"/>
      </w:pPr>
      <w:r>
        <w:continuationSeparator/>
      </w:r>
    </w:p>
  </w:footnote>
  <w:footnote w:id="1">
    <w:p w:rsidR="007539FE" w:rsidRDefault="007539FE" w:rsidP="00C82ED8">
      <w:pPr>
        <w:pStyle w:val="Footnote"/>
      </w:pPr>
      <w:r>
        <w:rPr>
          <w:rStyle w:val="FootnoteReference"/>
        </w:rPr>
        <w:footnoteRef/>
      </w:r>
      <w:r>
        <w:t xml:space="preserve"> </w:t>
      </w:r>
      <w:r w:rsidRPr="00DD3744">
        <w:t>2013-04-09 PBT-2013-115617 Original Petition 412249-401</w:t>
      </w:r>
    </w:p>
  </w:footnote>
  <w:footnote w:id="2">
    <w:p w:rsidR="007539FE" w:rsidRDefault="007539FE" w:rsidP="00C82ED8">
      <w:pPr>
        <w:pStyle w:val="Footnote"/>
      </w:pPr>
      <w:r>
        <w:rPr>
          <w:rStyle w:val="FootnoteReference"/>
        </w:rPr>
        <w:footnoteRef/>
      </w:r>
      <w:r>
        <w:t xml:space="preserve"> E</w:t>
      </w:r>
      <w:r w:rsidRPr="00C86AC7">
        <w:t xml:space="preserve">mergency motion for removal of </w:t>
      </w:r>
      <w:proofErr w:type="spellStart"/>
      <w:r w:rsidRPr="00C86AC7">
        <w:t>lis</w:t>
      </w:r>
      <w:proofErr w:type="spellEnd"/>
      <w:r w:rsidRPr="00C86AC7">
        <w:t xml:space="preserve"> </w:t>
      </w:r>
      <w:proofErr w:type="spellStart"/>
      <w:r w:rsidRPr="00C86AC7">
        <w:t>pendens</w:t>
      </w:r>
      <w:proofErr w:type="spellEnd"/>
      <w:r>
        <w:t xml:space="preserve"> filed with Affidavit of Amy Brunsting</w:t>
      </w:r>
    </w:p>
  </w:footnote>
  <w:footnote w:id="3">
    <w:p w:rsidR="007539FE" w:rsidRDefault="007539FE" w:rsidP="00C71B7E">
      <w:pPr>
        <w:pStyle w:val="Footnote"/>
      </w:pPr>
      <w:r>
        <w:rPr>
          <w:rStyle w:val="FootnoteReference"/>
        </w:rPr>
        <w:footnoteRef/>
      </w:r>
      <w:r>
        <w:t xml:space="preserve"> 2013-01-09 Curtis v Brunsting 704 F.3d 406</w:t>
      </w:r>
    </w:p>
  </w:footnote>
  <w:footnote w:id="4">
    <w:p w:rsidR="007539FE" w:rsidRDefault="007539FE" w:rsidP="00C71B7E">
      <w:pPr>
        <w:pStyle w:val="Footnote"/>
      </w:pPr>
      <w:r>
        <w:rPr>
          <w:rStyle w:val="FootnoteReference"/>
        </w:rPr>
        <w:footnoteRef/>
      </w:r>
      <w:r>
        <w:t xml:space="preserve"> 2013-01-29 </w:t>
      </w:r>
      <w:r w:rsidRPr="00B30747">
        <w:t>District Court Complaint</w:t>
      </w:r>
    </w:p>
  </w:footnote>
  <w:footnote w:id="5">
    <w:p w:rsidR="007539FE" w:rsidRDefault="007539FE" w:rsidP="002A4988">
      <w:pPr>
        <w:pStyle w:val="Footnote"/>
      </w:pPr>
      <w:r>
        <w:rPr>
          <w:rStyle w:val="FootnoteReference"/>
        </w:rPr>
        <w:footnoteRef/>
      </w:r>
      <w:r>
        <w:t xml:space="preserve"> Transcript of April 9, 2013 injunction hearing</w:t>
      </w:r>
    </w:p>
  </w:footnote>
  <w:footnote w:id="6">
    <w:p w:rsidR="007539FE" w:rsidRDefault="007539FE" w:rsidP="002A4988">
      <w:pPr>
        <w:pStyle w:val="Footnote"/>
      </w:pPr>
      <w:r>
        <w:rPr>
          <w:rStyle w:val="FootnoteReference"/>
        </w:rPr>
        <w:footnoteRef/>
      </w:r>
      <w:r>
        <w:t xml:space="preserve"> </w:t>
      </w:r>
      <w:r w:rsidRPr="00CD2AFF">
        <w:t>2013-04-19 Case  4-12-cv-592 Doc 45 Preliminary Federal Injunction</w:t>
      </w:r>
    </w:p>
  </w:footnote>
  <w:footnote w:id="7">
    <w:p w:rsidR="007539FE" w:rsidRDefault="007539FE" w:rsidP="002A4988">
      <w:pPr>
        <w:pStyle w:val="Footnote"/>
      </w:pPr>
      <w:r>
        <w:rPr>
          <w:rStyle w:val="FootnoteReference"/>
        </w:rPr>
        <w:footnoteRef/>
      </w:r>
      <w:r>
        <w:t xml:space="preserve"> </w:t>
      </w:r>
      <w:r w:rsidRPr="00C82ED8">
        <w:t>2013-05-09 Case 4-12-cv-592 [Doc 55] Order Appointing West - Special Master</w:t>
      </w:r>
    </w:p>
  </w:footnote>
  <w:footnote w:id="8">
    <w:p w:rsidR="007539FE" w:rsidRDefault="007539FE" w:rsidP="002A4988">
      <w:pPr>
        <w:pStyle w:val="Footnote"/>
      </w:pPr>
      <w:r>
        <w:rPr>
          <w:rStyle w:val="FootnoteReference"/>
        </w:rPr>
        <w:footnoteRef/>
      </w:r>
      <w:r>
        <w:t xml:space="preserve"> </w:t>
      </w:r>
      <w:r w:rsidRPr="00134DD2">
        <w:t>2013-08-08 Case  4-12-cv-592 Doc 62 Report of Special Master</w:t>
      </w:r>
    </w:p>
  </w:footnote>
  <w:footnote w:id="9">
    <w:p w:rsidR="007539FE" w:rsidRDefault="007539FE" w:rsidP="002A4988">
      <w:pPr>
        <w:pStyle w:val="Footnote"/>
      </w:pPr>
      <w:r>
        <w:rPr>
          <w:rStyle w:val="FootnoteReference"/>
        </w:rPr>
        <w:footnoteRef/>
      </w:r>
      <w:r>
        <w:t xml:space="preserve"> Hearing Transcript - Report of Special Master</w:t>
      </w:r>
    </w:p>
  </w:footnote>
  <w:footnote w:id="10">
    <w:p w:rsidR="007539FE" w:rsidRDefault="007539FE" w:rsidP="002A4988">
      <w:pPr>
        <w:pStyle w:val="Footnote"/>
      </w:pPr>
      <w:r>
        <w:rPr>
          <w:rStyle w:val="FootnoteReference"/>
        </w:rPr>
        <w:footnoteRef/>
      </w:r>
      <w:r>
        <w:t xml:space="preserve"> </w:t>
      </w:r>
      <w:r w:rsidRPr="00C71B7E">
        <w:t>[10] 2019-11-19 Statutory Bill of Review 412249-404</w:t>
      </w:r>
    </w:p>
  </w:footnote>
  <w:footnote w:id="11">
    <w:p w:rsidR="007539FE" w:rsidRDefault="007539FE" w:rsidP="002A4988">
      <w:pPr>
        <w:pStyle w:val="Footnote"/>
      </w:pPr>
      <w:r>
        <w:rPr>
          <w:rStyle w:val="FootnoteReference"/>
        </w:rPr>
        <w:footnoteRef/>
      </w:r>
      <w:r>
        <w:t xml:space="preserve"> </w:t>
      </w:r>
      <w:r w:rsidRPr="007D150F">
        <w:t xml:space="preserve">2014-06-05  Case 412249-402 </w:t>
      </w:r>
      <w:r>
        <w:t xml:space="preserve">Ostrom </w:t>
      </w:r>
      <w:r w:rsidRPr="007D150F">
        <w:t xml:space="preserve">Motion to Enter Transfer </w:t>
      </w:r>
      <w:r>
        <w:t>O</w:t>
      </w:r>
      <w:r w:rsidRPr="007D150F">
        <w:t>rder PBT-2014-184792</w:t>
      </w:r>
    </w:p>
  </w:footnote>
  <w:footnote w:id="12">
    <w:p w:rsidR="007539FE" w:rsidRDefault="007539FE" w:rsidP="002A4988">
      <w:pPr>
        <w:pStyle w:val="Footnote"/>
      </w:pPr>
      <w:r>
        <w:rPr>
          <w:rStyle w:val="FootnoteReference"/>
        </w:rPr>
        <w:footnoteRef/>
      </w:r>
      <w:r>
        <w:t xml:space="preserve"> </w:t>
      </w:r>
      <w:r w:rsidRPr="007D150F">
        <w:t>[13] 2014-09-09 PBT-2014-294428 Maure</w:t>
      </w:r>
      <w:r>
        <w:t>n</w:t>
      </w:r>
      <w:r w:rsidRPr="007D150F">
        <w:t xml:space="preserve">e </w:t>
      </w:r>
      <w:r>
        <w:t xml:space="preserve">Mccutcheon </w:t>
      </w:r>
      <w:r w:rsidRPr="007D150F">
        <w:t>application to withdraw</w:t>
      </w:r>
    </w:p>
  </w:footnote>
  <w:footnote w:id="13">
    <w:p w:rsidR="007539FE" w:rsidRDefault="007539FE" w:rsidP="00A51D9C">
      <w:pPr>
        <w:pStyle w:val="Footnote"/>
      </w:pPr>
      <w:r>
        <w:rPr>
          <w:rStyle w:val="FootnoteReference"/>
        </w:rPr>
        <w:footnoteRef/>
      </w:r>
      <w:r>
        <w:t xml:space="preserve"> </w:t>
      </w:r>
      <w:r w:rsidRPr="007D150F">
        <w:t>2015-02-19 Case 412249-401 PBT-2015-57597 Carl Resignation</w:t>
      </w:r>
    </w:p>
  </w:footnote>
  <w:footnote w:id="14">
    <w:p w:rsidR="007539FE" w:rsidRDefault="007539FE" w:rsidP="00A51D9C">
      <w:pPr>
        <w:pStyle w:val="Footnote"/>
      </w:pPr>
      <w:r>
        <w:rPr>
          <w:rStyle w:val="FootnoteReference"/>
        </w:rPr>
        <w:footnoteRef/>
      </w:r>
      <w:r>
        <w:t xml:space="preserve"> </w:t>
      </w:r>
      <w:r w:rsidRPr="002A4988">
        <w:t>[14] 2015-02-20 Case 412249-401 Agreed Docket Control Order</w:t>
      </w:r>
    </w:p>
  </w:footnote>
  <w:footnote w:id="15">
    <w:p w:rsidR="007539FE" w:rsidRDefault="007539FE" w:rsidP="00A51D9C">
      <w:pPr>
        <w:pStyle w:val="Footnote"/>
      </w:pPr>
      <w:r>
        <w:rPr>
          <w:rStyle w:val="FootnoteReference"/>
        </w:rPr>
        <w:footnoteRef/>
      </w:r>
      <w:r>
        <w:t xml:space="preserve"> </w:t>
      </w:r>
      <w:r w:rsidRPr="002A4988">
        <w:t>2015-03-09 Agreed Order to Consolidate cases</w:t>
      </w:r>
    </w:p>
  </w:footnote>
  <w:footnote w:id="16">
    <w:p w:rsidR="007539FE" w:rsidRDefault="007539FE" w:rsidP="00A51D9C">
      <w:pPr>
        <w:pStyle w:val="Footnote"/>
      </w:pPr>
      <w:r>
        <w:rPr>
          <w:rStyle w:val="FootnoteReference"/>
        </w:rPr>
        <w:footnoteRef/>
      </w:r>
      <w:r>
        <w:t xml:space="preserve"> </w:t>
      </w:r>
      <w:r w:rsidRPr="00EB7C2C">
        <w:t>2015-06-26 Case 412249-401 Anita &amp; Amy's No Evidence MSJ re 8-25-2010 QBD-PBT-2015-208305</w:t>
      </w:r>
    </w:p>
  </w:footnote>
  <w:footnote w:id="17">
    <w:p w:rsidR="007539FE" w:rsidRDefault="007539FE" w:rsidP="00A51D9C">
      <w:pPr>
        <w:pStyle w:val="Footnote"/>
      </w:pPr>
      <w:r>
        <w:rPr>
          <w:rStyle w:val="FootnoteReference"/>
        </w:rPr>
        <w:footnoteRef/>
      </w:r>
      <w:r>
        <w:t xml:space="preserve"> </w:t>
      </w:r>
      <w:r w:rsidRPr="00EB7C2C">
        <w:t>2015-07-13 Case 412249-401 PBT-2015-226432 Notice of hearing on No Evidence Motion 2015-07-13</w:t>
      </w:r>
    </w:p>
  </w:footnote>
  <w:footnote w:id="18">
    <w:p w:rsidR="007539FE" w:rsidRDefault="007539FE" w:rsidP="00A51D9C">
      <w:pPr>
        <w:pStyle w:val="Footnote"/>
      </w:pPr>
      <w:r>
        <w:rPr>
          <w:rStyle w:val="FootnoteReference"/>
        </w:rPr>
        <w:footnoteRef/>
      </w:r>
      <w:r>
        <w:t xml:space="preserve"> </w:t>
      </w:r>
      <w:r w:rsidRPr="00EB7C2C">
        <w:t>2015-07-13 Case 412249-401 PBT-2015-227302 Bayless Notice of hearing august 3 2015</w:t>
      </w:r>
    </w:p>
  </w:footnote>
  <w:footnote w:id="19">
    <w:p w:rsidR="007539FE" w:rsidRDefault="007539FE" w:rsidP="00A51D9C">
      <w:pPr>
        <w:pStyle w:val="Footnote"/>
      </w:pPr>
      <w:r>
        <w:rPr>
          <w:rStyle w:val="FootnoteReference"/>
        </w:rPr>
        <w:footnoteRef/>
      </w:r>
      <w:r>
        <w:t xml:space="preserve"> </w:t>
      </w:r>
      <w:r w:rsidRPr="00EB7C2C">
        <w:t>2015-07-13 Case 412249-401 Plaintiff Curtis Response to No-evidence motion PBT-2015-227757</w:t>
      </w:r>
    </w:p>
  </w:footnote>
  <w:footnote w:id="20">
    <w:p w:rsidR="007539FE" w:rsidRDefault="007539FE" w:rsidP="00A51D9C">
      <w:pPr>
        <w:pStyle w:val="Footnote"/>
      </w:pPr>
      <w:r>
        <w:rPr>
          <w:rStyle w:val="FootnoteReference"/>
        </w:rPr>
        <w:footnoteRef/>
      </w:r>
      <w:r>
        <w:t xml:space="preserve"> </w:t>
      </w:r>
      <w:r w:rsidRPr="00CC0744">
        <w:t>2015-07-22 Emergency Motion for Protective Order</w:t>
      </w:r>
    </w:p>
  </w:footnote>
  <w:footnote w:id="21">
    <w:p w:rsidR="007539FE" w:rsidRDefault="007539FE" w:rsidP="00A51D9C">
      <w:pPr>
        <w:pStyle w:val="Footnote"/>
      </w:pPr>
      <w:r>
        <w:rPr>
          <w:rStyle w:val="FootnoteReference"/>
        </w:rPr>
        <w:footnoteRef/>
      </w:r>
      <w:r>
        <w:t xml:space="preserve"> </w:t>
      </w:r>
      <w:r w:rsidRPr="00C2325D">
        <w:t>2015-08-03  Estate of Nelva E Brunsting August 3, 2015 Wiretap Transcript</w:t>
      </w:r>
    </w:p>
  </w:footnote>
  <w:footnote w:id="22">
    <w:p w:rsidR="007539FE" w:rsidRDefault="007539FE" w:rsidP="00A51D9C">
      <w:pPr>
        <w:pStyle w:val="Footnote"/>
      </w:pPr>
      <w:r>
        <w:rPr>
          <w:rStyle w:val="FootnoteReference"/>
        </w:rPr>
        <w:footnoteRef/>
      </w:r>
      <w:r>
        <w:t xml:space="preserve"> </w:t>
      </w:r>
      <w:r w:rsidRPr="00633D48">
        <w:t>2016-01-14 Case 412249 PBT-2016-14856 Greg Lester Report</w:t>
      </w:r>
    </w:p>
  </w:footnote>
  <w:footnote w:id="23">
    <w:p w:rsidR="007539FE" w:rsidRDefault="007539FE" w:rsidP="00A51D9C">
      <w:pPr>
        <w:pStyle w:val="Footnote"/>
      </w:pPr>
      <w:r>
        <w:rPr>
          <w:rStyle w:val="FootnoteReference"/>
        </w:rPr>
        <w:footnoteRef/>
      </w:r>
      <w:r>
        <w:t xml:space="preserve"> </w:t>
      </w:r>
      <w:r w:rsidRPr="00A51D9C">
        <w:t>2016-03-09 Case 412249-401 March 9, 2016 Staged Ambush Hearing Transcript</w:t>
      </w:r>
    </w:p>
  </w:footnote>
  <w:footnote w:id="24">
    <w:p w:rsidR="007539FE" w:rsidRDefault="007539FE" w:rsidP="00A51D9C">
      <w:pPr>
        <w:pStyle w:val="Footnote"/>
      </w:pPr>
      <w:r>
        <w:rPr>
          <w:rStyle w:val="FootnoteReference"/>
        </w:rPr>
        <w:footnoteRef/>
      </w:r>
      <w:r>
        <w:t xml:space="preserve"> </w:t>
      </w:r>
      <w:r w:rsidRPr="00A51D9C">
        <w:t>2021-03-05 Settlement accounting</w:t>
      </w:r>
    </w:p>
  </w:footnote>
  <w:footnote w:id="25">
    <w:p w:rsidR="007539FE" w:rsidRDefault="007539FE" w:rsidP="00A51D9C">
      <w:pPr>
        <w:pStyle w:val="Footnote"/>
      </w:pPr>
      <w:r>
        <w:rPr>
          <w:rStyle w:val="FootnoteReference"/>
        </w:rPr>
        <w:footnoteRef/>
      </w:r>
      <w:r>
        <w:t xml:space="preserve"> </w:t>
      </w:r>
      <w:r w:rsidRPr="00A51D9C">
        <w:t>[25] 2021-03-29 Brunsting - Trustee Counter-Offer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C203F"/>
    <w:multiLevelType w:val="hybridMultilevel"/>
    <w:tmpl w:val="3D680CDC"/>
    <w:lvl w:ilvl="0" w:tplc="CBBA38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06135D"/>
    <w:multiLevelType w:val="hybridMultilevel"/>
    <w:tmpl w:val="1CBE1662"/>
    <w:lvl w:ilvl="0" w:tplc="66289908">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EB2716"/>
    <w:multiLevelType w:val="hybridMultilevel"/>
    <w:tmpl w:val="989E8F06"/>
    <w:lvl w:ilvl="0" w:tplc="43D0D674">
      <w:start w:val="1"/>
      <w:numFmt w:val="decimal"/>
      <w:pStyle w:val="Quote"/>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5CF5706"/>
    <w:multiLevelType w:val="hybridMultilevel"/>
    <w:tmpl w:val="D92C05F2"/>
    <w:lvl w:ilvl="0" w:tplc="593E260C">
      <w:start w:val="1"/>
      <w:numFmt w:val="decimal"/>
      <w:lvlText w:val="%1."/>
      <w:lvlJc w:val="left"/>
      <w:pPr>
        <w:ind w:left="360" w:hanging="360"/>
      </w:pPr>
      <w:rPr>
        <w:rFonts w:hint="default"/>
      </w:rPr>
    </w:lvl>
    <w:lvl w:ilvl="1" w:tplc="8192510E">
      <w:start w:val="1"/>
      <w:numFmt w:val="lowerLetter"/>
      <w:lvlText w:val="%2."/>
      <w:lvlJc w:val="left"/>
      <w:pPr>
        <w:ind w:left="1440" w:hanging="360"/>
      </w:pPr>
    </w:lvl>
    <w:lvl w:ilvl="2" w:tplc="251AB490">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6E6F91"/>
    <w:multiLevelType w:val="hybridMultilevel"/>
    <w:tmpl w:val="3050C700"/>
    <w:lvl w:ilvl="0" w:tplc="602C06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D41E32"/>
    <w:multiLevelType w:val="hybridMultilevel"/>
    <w:tmpl w:val="1920623A"/>
    <w:lvl w:ilvl="0" w:tplc="DB306EE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6326B8A"/>
    <w:multiLevelType w:val="hybridMultilevel"/>
    <w:tmpl w:val="0A1051A6"/>
    <w:lvl w:ilvl="0" w:tplc="B03A23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565D82"/>
    <w:multiLevelType w:val="hybridMultilevel"/>
    <w:tmpl w:val="4EC2DD52"/>
    <w:lvl w:ilvl="0" w:tplc="39F02D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6F5047"/>
    <w:multiLevelType w:val="hybridMultilevel"/>
    <w:tmpl w:val="448860B2"/>
    <w:lvl w:ilvl="0" w:tplc="01461E86">
      <w:start w:val="1"/>
      <w:numFmt w:val="bullet"/>
      <w:pStyle w:val="Bullet"/>
      <w:lvlText w:val=""/>
      <w:lvlJc w:val="left"/>
      <w:pPr>
        <w:ind w:left="360" w:hanging="360"/>
      </w:pPr>
      <w:rPr>
        <w:rFonts w:ascii="Symbol" w:hAnsi="Symbol" w:hint="default"/>
      </w:rPr>
    </w:lvl>
    <w:lvl w:ilvl="1" w:tplc="5C8E4776">
      <w:start w:val="1"/>
      <w:numFmt w:val="lowerLetter"/>
      <w:lvlText w:val="%2."/>
      <w:lvlJc w:val="left"/>
      <w:pPr>
        <w:ind w:left="1080" w:hanging="360"/>
      </w:pPr>
      <w:rPr>
        <w:rFonts w:hint="default"/>
      </w:rPr>
    </w:lvl>
    <w:lvl w:ilvl="2" w:tplc="6A36F5C6">
      <w:start w:val="1"/>
      <w:numFmt w:val="decimal"/>
      <w:lvlText w:val="(%3)"/>
      <w:lvlJc w:val="left"/>
      <w:pPr>
        <w:ind w:left="2730" w:hanging="111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5A9C53B2"/>
    <w:multiLevelType w:val="hybridMultilevel"/>
    <w:tmpl w:val="3050C700"/>
    <w:lvl w:ilvl="0" w:tplc="602C06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F2C6B27"/>
    <w:multiLevelType w:val="hybridMultilevel"/>
    <w:tmpl w:val="199267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689D1BEB"/>
    <w:multiLevelType w:val="hybridMultilevel"/>
    <w:tmpl w:val="4540309E"/>
    <w:lvl w:ilvl="0" w:tplc="7E3A0700">
      <w:start w:val="1"/>
      <w:numFmt w:val="decimal"/>
      <w:pStyle w:val="NumPar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CA470B3"/>
    <w:multiLevelType w:val="hybridMultilevel"/>
    <w:tmpl w:val="A468983C"/>
    <w:lvl w:ilvl="0" w:tplc="CEE272E6">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12"/>
  </w:num>
  <w:num w:numId="12">
    <w:abstractNumId w:val="8"/>
  </w:num>
  <w:num w:numId="13">
    <w:abstractNumId w:val="6"/>
  </w:num>
  <w:num w:numId="14">
    <w:abstractNumId w:val="6"/>
  </w:num>
  <w:num w:numId="15">
    <w:abstractNumId w:val="6"/>
  </w:num>
  <w:num w:numId="16">
    <w:abstractNumId w:val="8"/>
  </w:num>
  <w:num w:numId="17">
    <w:abstractNumId w:val="6"/>
  </w:num>
  <w:num w:numId="18">
    <w:abstractNumId w:val="6"/>
  </w:num>
  <w:num w:numId="19">
    <w:abstractNumId w:val="6"/>
  </w:num>
  <w:num w:numId="20">
    <w:abstractNumId w:val="8"/>
  </w:num>
  <w:num w:numId="21">
    <w:abstractNumId w:val="6"/>
  </w:num>
  <w:num w:numId="22">
    <w:abstractNumId w:val="6"/>
  </w:num>
  <w:num w:numId="23">
    <w:abstractNumId w:val="6"/>
  </w:num>
  <w:num w:numId="24">
    <w:abstractNumId w:val="8"/>
  </w:num>
  <w:num w:numId="25">
    <w:abstractNumId w:val="6"/>
  </w:num>
  <w:num w:numId="26">
    <w:abstractNumId w:val="6"/>
  </w:num>
  <w:num w:numId="27">
    <w:abstractNumId w:val="6"/>
  </w:num>
  <w:num w:numId="28">
    <w:abstractNumId w:val="8"/>
  </w:num>
  <w:num w:numId="29">
    <w:abstractNumId w:val="6"/>
  </w:num>
  <w:num w:numId="30">
    <w:abstractNumId w:val="11"/>
  </w:num>
  <w:num w:numId="31">
    <w:abstractNumId w:val="11"/>
    <w:lvlOverride w:ilvl="0">
      <w:startOverride w:val="1"/>
    </w:lvlOverride>
  </w:num>
  <w:num w:numId="32">
    <w:abstractNumId w:val="11"/>
    <w:lvlOverride w:ilvl="0">
      <w:startOverride w:val="1"/>
    </w:lvlOverride>
  </w:num>
  <w:num w:numId="33">
    <w:abstractNumId w:val="11"/>
    <w:lvlOverride w:ilvl="0">
      <w:startOverride w:val="1"/>
    </w:lvlOverride>
  </w:num>
  <w:num w:numId="34">
    <w:abstractNumId w:val="11"/>
    <w:lvlOverride w:ilvl="0">
      <w:startOverride w:val="1"/>
    </w:lvlOverride>
  </w:num>
  <w:num w:numId="35">
    <w:abstractNumId w:val="11"/>
    <w:lvlOverride w:ilvl="0">
      <w:startOverride w:val="1"/>
    </w:lvlOverride>
  </w:num>
  <w:num w:numId="36">
    <w:abstractNumId w:val="11"/>
    <w:lvlOverride w:ilvl="0">
      <w:startOverride w:val="1"/>
    </w:lvlOverride>
  </w:num>
  <w:num w:numId="37">
    <w:abstractNumId w:val="11"/>
    <w:lvlOverride w:ilvl="0">
      <w:startOverride w:val="1"/>
    </w:lvlOverride>
  </w:num>
  <w:num w:numId="38">
    <w:abstractNumId w:val="4"/>
  </w:num>
  <w:num w:numId="39">
    <w:abstractNumId w:val="0"/>
  </w:num>
  <w:num w:numId="40">
    <w:abstractNumId w:val="1"/>
  </w:num>
  <w:num w:numId="41">
    <w:abstractNumId w:val="5"/>
  </w:num>
  <w:num w:numId="42">
    <w:abstractNumId w:val="5"/>
    <w:lvlOverride w:ilvl="0">
      <w:startOverride w:val="1"/>
    </w:lvlOverride>
  </w:num>
  <w:num w:numId="43">
    <w:abstractNumId w:val="10"/>
  </w:num>
  <w:num w:numId="44">
    <w:abstractNumId w:val="11"/>
    <w:lvlOverride w:ilvl="0">
      <w:startOverride w:val="1"/>
    </w:lvlOverride>
  </w:num>
  <w:num w:numId="45">
    <w:abstractNumId w:val="11"/>
    <w:lvlOverride w:ilvl="0">
      <w:startOverride w:val="1"/>
    </w:lvlOverride>
  </w:num>
  <w:num w:numId="46">
    <w:abstractNumId w:val="9"/>
  </w:num>
  <w:num w:numId="47">
    <w:abstractNumId w:val="11"/>
    <w:lvlOverride w:ilvl="0">
      <w:startOverride w:val="1"/>
    </w:lvlOverride>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stylePaneSortMethod w:val="0003"/>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1E0D57B9-D265-426C-9F10-B6BE0CE5A6A2}"/>
    <w:docVar w:name="dgnword-eventsink" w:val="1023900720"/>
  </w:docVars>
  <w:rsids>
    <w:rsidRoot w:val="00DB673C"/>
    <w:rsid w:val="00071084"/>
    <w:rsid w:val="000B37D6"/>
    <w:rsid w:val="000B3C3A"/>
    <w:rsid w:val="000F738F"/>
    <w:rsid w:val="00103501"/>
    <w:rsid w:val="00105C93"/>
    <w:rsid w:val="00121084"/>
    <w:rsid w:val="00124D37"/>
    <w:rsid w:val="00134DD2"/>
    <w:rsid w:val="00137D53"/>
    <w:rsid w:val="001A106D"/>
    <w:rsid w:val="001A3F32"/>
    <w:rsid w:val="001C1C23"/>
    <w:rsid w:val="001D0B0A"/>
    <w:rsid w:val="001D45D1"/>
    <w:rsid w:val="001D6254"/>
    <w:rsid w:val="001E089E"/>
    <w:rsid w:val="00207E3F"/>
    <w:rsid w:val="00211BAF"/>
    <w:rsid w:val="00237452"/>
    <w:rsid w:val="00252911"/>
    <w:rsid w:val="00272ED2"/>
    <w:rsid w:val="00280F6F"/>
    <w:rsid w:val="0028519E"/>
    <w:rsid w:val="0029542F"/>
    <w:rsid w:val="002A4988"/>
    <w:rsid w:val="002B39DD"/>
    <w:rsid w:val="002C33A1"/>
    <w:rsid w:val="002E74A3"/>
    <w:rsid w:val="00314FAC"/>
    <w:rsid w:val="00346E35"/>
    <w:rsid w:val="003523A7"/>
    <w:rsid w:val="00360219"/>
    <w:rsid w:val="00361BF9"/>
    <w:rsid w:val="003662A2"/>
    <w:rsid w:val="003663F6"/>
    <w:rsid w:val="00372075"/>
    <w:rsid w:val="003760B6"/>
    <w:rsid w:val="003A6462"/>
    <w:rsid w:val="003B5D36"/>
    <w:rsid w:val="003F37FE"/>
    <w:rsid w:val="003F4B40"/>
    <w:rsid w:val="0041293E"/>
    <w:rsid w:val="00424FE8"/>
    <w:rsid w:val="00451EBF"/>
    <w:rsid w:val="00457BE9"/>
    <w:rsid w:val="0046522A"/>
    <w:rsid w:val="0048570A"/>
    <w:rsid w:val="004A0093"/>
    <w:rsid w:val="004D2B67"/>
    <w:rsid w:val="004E1A6B"/>
    <w:rsid w:val="004E4C9B"/>
    <w:rsid w:val="004F6A64"/>
    <w:rsid w:val="00514B18"/>
    <w:rsid w:val="005157AC"/>
    <w:rsid w:val="00595B2D"/>
    <w:rsid w:val="005B4D26"/>
    <w:rsid w:val="005D0F64"/>
    <w:rsid w:val="005D4EAE"/>
    <w:rsid w:val="005E0485"/>
    <w:rsid w:val="005F5ACC"/>
    <w:rsid w:val="006010F2"/>
    <w:rsid w:val="00633D48"/>
    <w:rsid w:val="0066376D"/>
    <w:rsid w:val="006877EA"/>
    <w:rsid w:val="00687F23"/>
    <w:rsid w:val="00692179"/>
    <w:rsid w:val="006A479E"/>
    <w:rsid w:val="006B10D2"/>
    <w:rsid w:val="006D2816"/>
    <w:rsid w:val="0070029A"/>
    <w:rsid w:val="00703E46"/>
    <w:rsid w:val="00721920"/>
    <w:rsid w:val="00727055"/>
    <w:rsid w:val="007414AF"/>
    <w:rsid w:val="007539FE"/>
    <w:rsid w:val="00756AA9"/>
    <w:rsid w:val="007735A6"/>
    <w:rsid w:val="007B05CA"/>
    <w:rsid w:val="007C1128"/>
    <w:rsid w:val="007D0309"/>
    <w:rsid w:val="007D150F"/>
    <w:rsid w:val="007D6293"/>
    <w:rsid w:val="007E42CB"/>
    <w:rsid w:val="007F56B6"/>
    <w:rsid w:val="00801B2A"/>
    <w:rsid w:val="008546A5"/>
    <w:rsid w:val="00855E0E"/>
    <w:rsid w:val="008A0C56"/>
    <w:rsid w:val="008A1677"/>
    <w:rsid w:val="008A7A9A"/>
    <w:rsid w:val="008B060C"/>
    <w:rsid w:val="008B286F"/>
    <w:rsid w:val="008D0F28"/>
    <w:rsid w:val="008D7FAB"/>
    <w:rsid w:val="008F69DF"/>
    <w:rsid w:val="00901B52"/>
    <w:rsid w:val="0092074C"/>
    <w:rsid w:val="00932191"/>
    <w:rsid w:val="0093474F"/>
    <w:rsid w:val="00935696"/>
    <w:rsid w:val="00950776"/>
    <w:rsid w:val="0097130D"/>
    <w:rsid w:val="00975538"/>
    <w:rsid w:val="00977F59"/>
    <w:rsid w:val="00994103"/>
    <w:rsid w:val="00995AA6"/>
    <w:rsid w:val="009C5CC3"/>
    <w:rsid w:val="009C6B7E"/>
    <w:rsid w:val="009C70A5"/>
    <w:rsid w:val="009D55FE"/>
    <w:rsid w:val="009D75C0"/>
    <w:rsid w:val="009F5BBF"/>
    <w:rsid w:val="00A17B47"/>
    <w:rsid w:val="00A237F9"/>
    <w:rsid w:val="00A51D9C"/>
    <w:rsid w:val="00AA14C8"/>
    <w:rsid w:val="00AB0B1E"/>
    <w:rsid w:val="00AC0531"/>
    <w:rsid w:val="00AC3F9E"/>
    <w:rsid w:val="00B02C6D"/>
    <w:rsid w:val="00B11AD4"/>
    <w:rsid w:val="00B30747"/>
    <w:rsid w:val="00B32522"/>
    <w:rsid w:val="00B61F70"/>
    <w:rsid w:val="00B64FE7"/>
    <w:rsid w:val="00B9675D"/>
    <w:rsid w:val="00BA492B"/>
    <w:rsid w:val="00BB0388"/>
    <w:rsid w:val="00BB3308"/>
    <w:rsid w:val="00BC0E8C"/>
    <w:rsid w:val="00BD6470"/>
    <w:rsid w:val="00BF424A"/>
    <w:rsid w:val="00C2325D"/>
    <w:rsid w:val="00C3091C"/>
    <w:rsid w:val="00C42C11"/>
    <w:rsid w:val="00C67045"/>
    <w:rsid w:val="00C71B7E"/>
    <w:rsid w:val="00C76450"/>
    <w:rsid w:val="00C82ED8"/>
    <w:rsid w:val="00C86AC7"/>
    <w:rsid w:val="00CC0744"/>
    <w:rsid w:val="00CC30CD"/>
    <w:rsid w:val="00CD2AFF"/>
    <w:rsid w:val="00CE2958"/>
    <w:rsid w:val="00CE7230"/>
    <w:rsid w:val="00D12125"/>
    <w:rsid w:val="00D2774A"/>
    <w:rsid w:val="00D53A1C"/>
    <w:rsid w:val="00D653E0"/>
    <w:rsid w:val="00D83E65"/>
    <w:rsid w:val="00D873A0"/>
    <w:rsid w:val="00DB30C9"/>
    <w:rsid w:val="00DB673C"/>
    <w:rsid w:val="00DD3744"/>
    <w:rsid w:val="00DD647D"/>
    <w:rsid w:val="00DE0211"/>
    <w:rsid w:val="00DE4CF0"/>
    <w:rsid w:val="00DF7463"/>
    <w:rsid w:val="00E10E21"/>
    <w:rsid w:val="00E5067E"/>
    <w:rsid w:val="00E63497"/>
    <w:rsid w:val="00E75A8D"/>
    <w:rsid w:val="00E977AA"/>
    <w:rsid w:val="00EB5BDC"/>
    <w:rsid w:val="00EB7C2C"/>
    <w:rsid w:val="00EE5C3B"/>
    <w:rsid w:val="00EF2C01"/>
    <w:rsid w:val="00EF2EC2"/>
    <w:rsid w:val="00F01558"/>
    <w:rsid w:val="00F207DB"/>
    <w:rsid w:val="00F640F4"/>
    <w:rsid w:val="00FD4548"/>
    <w:rsid w:val="00FD75BA"/>
    <w:rsid w:val="00FE04D2"/>
    <w:rsid w:val="00FF19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AD4"/>
    <w:pPr>
      <w:spacing w:before="120" w:after="240" w:line="480" w:lineRule="auto"/>
      <w:ind w:firstLine="720"/>
    </w:pPr>
    <w:rPr>
      <w:rFonts w:ascii="Times New Roman" w:eastAsia="Times New Roman" w:hAnsi="Times New Roman" w:cs="Times New Roman"/>
      <w:color w:val="000000"/>
      <w:sz w:val="24"/>
    </w:rPr>
  </w:style>
  <w:style w:type="paragraph" w:styleId="Heading1">
    <w:name w:val="heading 1"/>
    <w:basedOn w:val="Normal"/>
    <w:next w:val="Normal"/>
    <w:link w:val="Heading1Char"/>
    <w:autoRedefine/>
    <w:uiPriority w:val="9"/>
    <w:qFormat/>
    <w:rsid w:val="0092074C"/>
    <w:pPr>
      <w:widowControl w:val="0"/>
      <w:spacing w:after="120" w:line="240" w:lineRule="auto"/>
      <w:ind w:firstLine="0"/>
      <w:jc w:val="center"/>
      <w:outlineLvl w:val="0"/>
    </w:pPr>
    <w:rPr>
      <w:rFonts w:eastAsiaTheme="majorEastAsia"/>
      <w:b/>
      <w:szCs w:val="32"/>
    </w:rPr>
  </w:style>
  <w:style w:type="paragraph" w:styleId="Heading2">
    <w:name w:val="heading 2"/>
    <w:basedOn w:val="Normal"/>
    <w:next w:val="Normal"/>
    <w:link w:val="Heading2Char"/>
    <w:uiPriority w:val="9"/>
    <w:unhideWhenUsed/>
    <w:qFormat/>
    <w:rsid w:val="00E5067E"/>
    <w:pPr>
      <w:spacing w:line="240" w:lineRule="auto"/>
      <w:ind w:firstLine="0"/>
      <w:jc w:val="left"/>
      <w:outlineLvl w:val="1"/>
    </w:pPr>
    <w:rPr>
      <w:rFonts w:cstheme="majorBidi"/>
      <w:b/>
      <w:bCs/>
      <w:sz w:val="26"/>
      <w:szCs w:val="26"/>
    </w:rPr>
  </w:style>
  <w:style w:type="paragraph" w:styleId="Heading3">
    <w:name w:val="heading 3"/>
    <w:basedOn w:val="Normal"/>
    <w:next w:val="Normal"/>
    <w:link w:val="Heading3Char"/>
    <w:uiPriority w:val="9"/>
    <w:unhideWhenUsed/>
    <w:qFormat/>
    <w:rsid w:val="003663F6"/>
    <w:pPr>
      <w:spacing w:line="240" w:lineRule="auto"/>
      <w:outlineLvl w:val="2"/>
    </w:pPr>
    <w:rPr>
      <w:b/>
    </w:rPr>
  </w:style>
  <w:style w:type="paragraph" w:styleId="Heading4">
    <w:name w:val="heading 4"/>
    <w:basedOn w:val="Normal"/>
    <w:next w:val="Normal"/>
    <w:link w:val="Heading4Char"/>
    <w:autoRedefine/>
    <w:uiPriority w:val="9"/>
    <w:unhideWhenUsed/>
    <w:qFormat/>
    <w:rsid w:val="00D83E65"/>
    <w:pPr>
      <w:spacing w:after="120" w:line="240" w:lineRule="auto"/>
      <w:ind w:left="720"/>
      <w:outlineLvl w:val="3"/>
    </w:pPr>
    <w:rPr>
      <w:b/>
      <w:bCs/>
      <w:i/>
      <w:iCs/>
    </w:rPr>
  </w:style>
  <w:style w:type="paragraph" w:styleId="Heading5">
    <w:name w:val="heading 5"/>
    <w:basedOn w:val="Normal"/>
    <w:next w:val="Normal"/>
    <w:link w:val="Heading5Char"/>
    <w:uiPriority w:val="9"/>
    <w:unhideWhenUsed/>
    <w:qFormat/>
    <w:rsid w:val="00BD6470"/>
    <w:pPr>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Quote">
    <w:name w:val="Quote"/>
    <w:basedOn w:val="Normal"/>
    <w:next w:val="Normal"/>
    <w:link w:val="QuoteChar"/>
    <w:autoRedefine/>
    <w:uiPriority w:val="29"/>
    <w:qFormat/>
    <w:rsid w:val="008546A5"/>
    <w:pPr>
      <w:spacing w:after="120" w:line="240" w:lineRule="auto"/>
      <w:ind w:left="720" w:right="720" w:firstLine="0"/>
    </w:pPr>
    <w:rPr>
      <w:i/>
      <w:iCs/>
      <w:color w:val="404040" w:themeColor="text1" w:themeTint="BF"/>
    </w:rPr>
  </w:style>
  <w:style w:type="character" w:customStyle="1" w:styleId="QuoteChar">
    <w:name w:val="Quote Char"/>
    <w:basedOn w:val="DefaultParagraphFont"/>
    <w:link w:val="Quote"/>
    <w:uiPriority w:val="29"/>
    <w:rsid w:val="008546A5"/>
    <w:rPr>
      <w:rFonts w:ascii="Times New Roman" w:eastAsia="Times New Roman" w:hAnsi="Times New Roman" w:cs="Times New Roman"/>
      <w:i/>
      <w:iCs/>
      <w:color w:val="404040" w:themeColor="text1" w:themeTint="BF"/>
      <w:sz w:val="24"/>
    </w:rPr>
  </w:style>
  <w:style w:type="character" w:customStyle="1" w:styleId="Heading1Char">
    <w:name w:val="Heading 1 Char"/>
    <w:basedOn w:val="DefaultParagraphFont"/>
    <w:link w:val="Heading1"/>
    <w:uiPriority w:val="9"/>
    <w:rsid w:val="0092074C"/>
    <w:rPr>
      <w:rFonts w:ascii="Times New Roman" w:eastAsiaTheme="majorEastAsia" w:hAnsi="Times New Roman" w:cs="Times New Roman"/>
      <w:b/>
      <w:color w:val="000000"/>
      <w:sz w:val="24"/>
      <w:szCs w:val="32"/>
    </w:rPr>
  </w:style>
  <w:style w:type="character" w:customStyle="1" w:styleId="Heading2Char">
    <w:name w:val="Heading 2 Char"/>
    <w:basedOn w:val="DefaultParagraphFont"/>
    <w:link w:val="Heading2"/>
    <w:uiPriority w:val="9"/>
    <w:rsid w:val="00E5067E"/>
    <w:rPr>
      <w:rFonts w:ascii="Times New Roman" w:eastAsia="Times New Roman" w:hAnsi="Times New Roman" w:cstheme="majorBidi"/>
      <w:b/>
      <w:bCs/>
      <w:color w:val="000000"/>
      <w:sz w:val="26"/>
      <w:szCs w:val="26"/>
    </w:rPr>
  </w:style>
  <w:style w:type="paragraph" w:customStyle="1" w:styleId="NumPara1">
    <w:name w:val="Num Para 1"/>
    <w:basedOn w:val="ListParagraph"/>
    <w:link w:val="NumPara1Char"/>
    <w:autoRedefine/>
    <w:qFormat/>
    <w:rsid w:val="0066376D"/>
    <w:pPr>
      <w:numPr>
        <w:numId w:val="30"/>
      </w:numPr>
      <w:autoSpaceDE w:val="0"/>
      <w:autoSpaceDN w:val="0"/>
      <w:adjustRightInd w:val="0"/>
      <w:spacing w:before="0" w:after="0" w:line="240" w:lineRule="auto"/>
      <w:contextualSpacing/>
    </w:pPr>
  </w:style>
  <w:style w:type="character" w:customStyle="1" w:styleId="NumPara1Char">
    <w:name w:val="Num Para 1 Char"/>
    <w:basedOn w:val="DefaultParagraphFont"/>
    <w:link w:val="NumPara1"/>
    <w:rsid w:val="0066376D"/>
    <w:rPr>
      <w:rFonts w:ascii="Times New Roman" w:eastAsia="Times New Roman" w:hAnsi="Times New Roman" w:cs="Times New Roman"/>
      <w:color w:val="000000"/>
      <w:sz w:val="24"/>
    </w:rPr>
  </w:style>
  <w:style w:type="paragraph" w:styleId="ListParagraph">
    <w:name w:val="List Paragraph"/>
    <w:basedOn w:val="Normal"/>
    <w:link w:val="ListParagraphChar"/>
    <w:autoRedefine/>
    <w:uiPriority w:val="34"/>
    <w:qFormat/>
    <w:rsid w:val="00124D37"/>
  </w:style>
  <w:style w:type="paragraph" w:customStyle="1" w:styleId="TOC">
    <w:name w:val="TOC"/>
    <w:basedOn w:val="TOCHeading"/>
    <w:link w:val="TOCChar"/>
    <w:autoRedefine/>
    <w:qFormat/>
    <w:rsid w:val="00B32522"/>
    <w:pPr>
      <w:spacing w:before="120"/>
    </w:pPr>
    <w:rPr>
      <w:rFonts w:ascii="Times New Roman" w:hAnsi="Times New Roman"/>
      <w:lang w:eastAsia="ja-JP"/>
    </w:rPr>
  </w:style>
  <w:style w:type="character" w:customStyle="1" w:styleId="TOCChar">
    <w:name w:val="TOC Char"/>
    <w:basedOn w:val="DefaultParagraphFont"/>
    <w:link w:val="TOC"/>
    <w:rsid w:val="00B32522"/>
    <w:rPr>
      <w:rFonts w:ascii="Times New Roman" w:eastAsiaTheme="majorEastAsia" w:hAnsi="Times New Roman" w:cstheme="majorBidi"/>
      <w:bCs/>
      <w:color w:val="2E74B5" w:themeColor="accent1" w:themeShade="BF"/>
      <w:sz w:val="24"/>
      <w:szCs w:val="28"/>
      <w:lang w:eastAsia="ja-JP"/>
    </w:rPr>
  </w:style>
  <w:style w:type="paragraph" w:styleId="TOCHeading">
    <w:name w:val="TOC Heading"/>
    <w:basedOn w:val="Heading1"/>
    <w:next w:val="Normal"/>
    <w:uiPriority w:val="39"/>
    <w:semiHidden/>
    <w:unhideWhenUsed/>
    <w:qFormat/>
    <w:rsid w:val="00B32522"/>
    <w:pPr>
      <w:spacing w:before="480"/>
      <w:outlineLvl w:val="9"/>
    </w:pPr>
    <w:rPr>
      <w:rFonts w:asciiTheme="majorHAnsi" w:hAnsiTheme="majorHAnsi" w:cstheme="majorBidi"/>
      <w:b w:val="0"/>
      <w:bCs/>
      <w:color w:val="2E74B5" w:themeColor="accent1" w:themeShade="BF"/>
      <w:szCs w:val="28"/>
    </w:rPr>
  </w:style>
  <w:style w:type="paragraph" w:styleId="TOC1">
    <w:name w:val="toc 1"/>
    <w:basedOn w:val="Normal"/>
    <w:next w:val="Normal"/>
    <w:autoRedefine/>
    <w:uiPriority w:val="39"/>
    <w:unhideWhenUsed/>
    <w:rsid w:val="00977F59"/>
    <w:rPr>
      <w:b/>
      <w:bCs/>
      <w:caps/>
    </w:rPr>
  </w:style>
  <w:style w:type="paragraph" w:styleId="NoSpacing">
    <w:name w:val="No Spacing"/>
    <w:link w:val="NoSpacingChar"/>
    <w:autoRedefine/>
    <w:uiPriority w:val="1"/>
    <w:qFormat/>
    <w:rsid w:val="00DD647D"/>
    <w:pPr>
      <w:keepNext/>
      <w:spacing w:before="120" w:after="120"/>
    </w:pPr>
    <w:rPr>
      <w:rFonts w:ascii="Times New Roman" w:eastAsiaTheme="minorEastAsia" w:hAnsi="Times New Roman"/>
      <w:sz w:val="24"/>
    </w:rPr>
  </w:style>
  <w:style w:type="paragraph" w:customStyle="1" w:styleId="Bullet">
    <w:name w:val="Bullet"/>
    <w:basedOn w:val="NumPara1"/>
    <w:link w:val="BulletChar"/>
    <w:qFormat/>
    <w:rsid w:val="00B32522"/>
    <w:pPr>
      <w:numPr>
        <w:numId w:val="28"/>
      </w:numPr>
    </w:pPr>
  </w:style>
  <w:style w:type="character" w:customStyle="1" w:styleId="BulletChar">
    <w:name w:val="Bullet Char"/>
    <w:basedOn w:val="NumPara1Char"/>
    <w:link w:val="Bullet"/>
    <w:rsid w:val="00B32522"/>
    <w:rPr>
      <w:rFonts w:ascii="Times New Roman" w:eastAsia="Times New Roman" w:hAnsi="Times New Roman" w:cs="Times New Roman"/>
      <w:color w:val="000000"/>
      <w:sz w:val="24"/>
      <w:szCs w:val="28"/>
    </w:rPr>
  </w:style>
  <w:style w:type="character" w:customStyle="1" w:styleId="serif">
    <w:name w:val="serif"/>
    <w:basedOn w:val="DefaultParagraphFont"/>
    <w:rsid w:val="00B32522"/>
  </w:style>
  <w:style w:type="character" w:customStyle="1" w:styleId="Heading3Char">
    <w:name w:val="Heading 3 Char"/>
    <w:basedOn w:val="DefaultParagraphFont"/>
    <w:link w:val="Heading3"/>
    <w:uiPriority w:val="9"/>
    <w:rsid w:val="003663F6"/>
    <w:rPr>
      <w:rFonts w:ascii="Times New Roman" w:eastAsia="Times New Roman" w:hAnsi="Times New Roman" w:cs="Times New Roman"/>
      <w:b/>
      <w:color w:val="000000"/>
      <w:sz w:val="24"/>
    </w:rPr>
  </w:style>
  <w:style w:type="character" w:customStyle="1" w:styleId="Heading4Char">
    <w:name w:val="Heading 4 Char"/>
    <w:basedOn w:val="DefaultParagraphFont"/>
    <w:link w:val="Heading4"/>
    <w:uiPriority w:val="9"/>
    <w:rsid w:val="00D83E65"/>
    <w:rPr>
      <w:rFonts w:ascii="Times New Roman" w:eastAsia="Times New Roman" w:hAnsi="Times New Roman" w:cs="Times New Roman"/>
      <w:b/>
      <w:bCs/>
      <w:i/>
      <w:iCs/>
      <w:color w:val="000000"/>
      <w:sz w:val="24"/>
    </w:rPr>
  </w:style>
  <w:style w:type="paragraph" w:styleId="FootnoteText">
    <w:name w:val="footnote text"/>
    <w:basedOn w:val="Normal"/>
    <w:link w:val="FootnoteTextChar"/>
    <w:uiPriority w:val="99"/>
    <w:unhideWhenUsed/>
    <w:rsid w:val="00B32522"/>
    <w:rPr>
      <w:sz w:val="20"/>
    </w:rPr>
  </w:style>
  <w:style w:type="character" w:customStyle="1" w:styleId="FootnoteTextChar">
    <w:name w:val="Footnote Text Char"/>
    <w:basedOn w:val="DefaultParagraphFont"/>
    <w:link w:val="FootnoteText"/>
    <w:uiPriority w:val="99"/>
    <w:rsid w:val="00B32522"/>
    <w:rPr>
      <w:rFonts w:ascii="Times New Roman" w:hAnsi="Times New Roman" w:cs="Times New Roman"/>
    </w:rPr>
  </w:style>
  <w:style w:type="paragraph" w:styleId="Header">
    <w:name w:val="header"/>
    <w:basedOn w:val="Normal"/>
    <w:link w:val="HeaderChar"/>
    <w:uiPriority w:val="99"/>
    <w:unhideWhenUsed/>
    <w:rsid w:val="00B32522"/>
    <w:pPr>
      <w:tabs>
        <w:tab w:val="center" w:pos="4680"/>
        <w:tab w:val="right" w:pos="9360"/>
      </w:tabs>
    </w:pPr>
  </w:style>
  <w:style w:type="character" w:customStyle="1" w:styleId="HeaderChar">
    <w:name w:val="Header Char"/>
    <w:basedOn w:val="DefaultParagraphFont"/>
    <w:link w:val="Header"/>
    <w:uiPriority w:val="99"/>
    <w:rsid w:val="00B32522"/>
    <w:rPr>
      <w:rFonts w:ascii="Times New Roman" w:hAnsi="Times New Roman"/>
      <w:sz w:val="24"/>
      <w:szCs w:val="28"/>
    </w:rPr>
  </w:style>
  <w:style w:type="paragraph" w:styleId="Footer">
    <w:name w:val="footer"/>
    <w:basedOn w:val="Normal"/>
    <w:link w:val="FooterChar"/>
    <w:uiPriority w:val="99"/>
    <w:unhideWhenUsed/>
    <w:rsid w:val="00B32522"/>
    <w:rPr>
      <w:sz w:val="20"/>
    </w:rPr>
  </w:style>
  <w:style w:type="character" w:customStyle="1" w:styleId="FooterChar">
    <w:name w:val="Footer Char"/>
    <w:basedOn w:val="DefaultParagraphFont"/>
    <w:link w:val="Footer"/>
    <w:uiPriority w:val="99"/>
    <w:rsid w:val="00B32522"/>
    <w:rPr>
      <w:rFonts w:ascii="Times New Roman" w:hAnsi="Times New Roman" w:cs="Times New Roman"/>
      <w:szCs w:val="28"/>
    </w:rPr>
  </w:style>
  <w:style w:type="character" w:styleId="FootnoteReference">
    <w:name w:val="footnote reference"/>
    <w:basedOn w:val="DefaultParagraphFont"/>
    <w:uiPriority w:val="99"/>
    <w:semiHidden/>
    <w:unhideWhenUsed/>
    <w:rsid w:val="00B32522"/>
    <w:rPr>
      <w:vertAlign w:val="superscript"/>
    </w:rPr>
  </w:style>
  <w:style w:type="character" w:styleId="EndnoteReference">
    <w:name w:val="endnote reference"/>
    <w:basedOn w:val="DefaultParagraphFont"/>
    <w:uiPriority w:val="99"/>
    <w:semiHidden/>
    <w:unhideWhenUsed/>
    <w:rsid w:val="00B32522"/>
    <w:rPr>
      <w:vertAlign w:val="superscript"/>
    </w:rPr>
  </w:style>
  <w:style w:type="paragraph" w:styleId="EndnoteText">
    <w:name w:val="endnote text"/>
    <w:basedOn w:val="Normal"/>
    <w:link w:val="EndnoteTextChar"/>
    <w:uiPriority w:val="99"/>
    <w:semiHidden/>
    <w:unhideWhenUsed/>
    <w:rsid w:val="00B32522"/>
    <w:rPr>
      <w:sz w:val="20"/>
    </w:rPr>
  </w:style>
  <w:style w:type="character" w:customStyle="1" w:styleId="EndnoteTextChar">
    <w:name w:val="Endnote Text Char"/>
    <w:basedOn w:val="DefaultParagraphFont"/>
    <w:link w:val="EndnoteText"/>
    <w:uiPriority w:val="99"/>
    <w:semiHidden/>
    <w:rsid w:val="00B32522"/>
    <w:rPr>
      <w:rFonts w:ascii="Times New Roman" w:hAnsi="Times New Roman"/>
    </w:rPr>
  </w:style>
  <w:style w:type="paragraph" w:styleId="Title">
    <w:name w:val="Title"/>
    <w:basedOn w:val="Normal"/>
    <w:next w:val="Normal"/>
    <w:link w:val="TitleChar"/>
    <w:uiPriority w:val="10"/>
    <w:qFormat/>
    <w:rsid w:val="00B32522"/>
    <w:pPr>
      <w:pBdr>
        <w:bottom w:val="single" w:sz="8" w:space="4" w:color="5B9BD5" w:themeColor="accent1"/>
      </w:pBdr>
      <w:spacing w:after="300"/>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B32522"/>
    <w:rPr>
      <w:rFonts w:asciiTheme="majorHAnsi" w:eastAsiaTheme="majorEastAsia" w:hAnsiTheme="majorHAnsi" w:cstheme="majorBidi"/>
      <w:color w:val="323E4F" w:themeColor="text2" w:themeShade="BF"/>
      <w:spacing w:val="5"/>
      <w:kern w:val="28"/>
      <w:sz w:val="52"/>
      <w:szCs w:val="52"/>
    </w:rPr>
  </w:style>
  <w:style w:type="character" w:styleId="Hyperlink">
    <w:name w:val="Hyperlink"/>
    <w:basedOn w:val="DefaultParagraphFont"/>
    <w:uiPriority w:val="99"/>
    <w:unhideWhenUsed/>
    <w:rsid w:val="00B32522"/>
    <w:rPr>
      <w:color w:val="0563C1" w:themeColor="hyperlink"/>
      <w:u w:val="single"/>
    </w:rPr>
  </w:style>
  <w:style w:type="table" w:styleId="TableGrid">
    <w:name w:val="Table Grid"/>
    <w:basedOn w:val="TableNormal"/>
    <w:uiPriority w:val="39"/>
    <w:rsid w:val="00B325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32522"/>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B32522"/>
    <w:rPr>
      <w:rFonts w:ascii="Times New Roman" w:hAnsi="Times New Roman"/>
      <w:b/>
      <w:bCs/>
      <w:i/>
      <w:iCs/>
      <w:color w:val="5B9BD5" w:themeColor="accent1"/>
      <w:sz w:val="24"/>
      <w:szCs w:val="28"/>
    </w:rPr>
  </w:style>
  <w:style w:type="character" w:customStyle="1" w:styleId="ListParagraphChar">
    <w:name w:val="List Paragraph Char"/>
    <w:basedOn w:val="DefaultParagraphFont"/>
    <w:link w:val="ListParagraph"/>
    <w:uiPriority w:val="34"/>
    <w:rsid w:val="00124D37"/>
    <w:rPr>
      <w:rFonts w:ascii="Times New Roman" w:eastAsiaTheme="minorEastAsia" w:hAnsi="Times New Roman"/>
      <w:sz w:val="28"/>
    </w:rPr>
  </w:style>
  <w:style w:type="character" w:customStyle="1" w:styleId="big">
    <w:name w:val="big"/>
    <w:basedOn w:val="DefaultParagraphFont"/>
    <w:rsid w:val="00DB673C"/>
  </w:style>
  <w:style w:type="character" w:customStyle="1" w:styleId="NoSpacingChar">
    <w:name w:val="No Spacing Char"/>
    <w:basedOn w:val="DefaultParagraphFont"/>
    <w:link w:val="NoSpacing"/>
    <w:uiPriority w:val="1"/>
    <w:locked/>
    <w:rsid w:val="00DD647D"/>
    <w:rPr>
      <w:rFonts w:ascii="Times New Roman" w:eastAsiaTheme="minorEastAsia" w:hAnsi="Times New Roman"/>
      <w:sz w:val="24"/>
    </w:rPr>
  </w:style>
  <w:style w:type="paragraph" w:customStyle="1" w:styleId="LegalHeading">
    <w:name w:val="Legal Heading"/>
    <w:basedOn w:val="Normal"/>
    <w:qFormat/>
    <w:rsid w:val="00DB673C"/>
    <w:pPr>
      <w:spacing w:before="0" w:after="0"/>
      <w:jc w:val="left"/>
    </w:pPr>
    <w:rPr>
      <w:rFonts w:eastAsia="Calibri"/>
      <w:color w:val="auto"/>
      <w:szCs w:val="24"/>
    </w:rPr>
  </w:style>
  <w:style w:type="paragraph" w:customStyle="1" w:styleId="Default">
    <w:name w:val="Default"/>
    <w:rsid w:val="004E1A6B"/>
    <w:pPr>
      <w:autoSpaceDE w:val="0"/>
      <w:autoSpaceDN w:val="0"/>
      <w:adjustRightInd w:val="0"/>
      <w:jc w:val="left"/>
    </w:pPr>
    <w:rPr>
      <w:rFonts w:ascii="Times New Roman" w:hAnsi="Times New Roman" w:cs="Times New Roman"/>
      <w:color w:val="000000"/>
      <w:sz w:val="24"/>
      <w:szCs w:val="24"/>
    </w:rPr>
  </w:style>
  <w:style w:type="character" w:customStyle="1" w:styleId="Heading5Char">
    <w:name w:val="Heading 5 Char"/>
    <w:basedOn w:val="DefaultParagraphFont"/>
    <w:link w:val="Heading5"/>
    <w:uiPriority w:val="9"/>
    <w:rsid w:val="00BD6470"/>
    <w:rPr>
      <w:rFonts w:asciiTheme="majorHAnsi" w:eastAsiaTheme="majorEastAsia" w:hAnsiTheme="majorHAnsi" w:cstheme="majorBidi"/>
      <w:color w:val="1F4D78" w:themeColor="accent1" w:themeShade="7F"/>
      <w:sz w:val="24"/>
    </w:rPr>
  </w:style>
  <w:style w:type="paragraph" w:customStyle="1" w:styleId="Footnote">
    <w:name w:val="Footnote"/>
    <w:basedOn w:val="FootnoteText"/>
    <w:link w:val="FootnoteChar"/>
    <w:qFormat/>
    <w:rsid w:val="00CD2AFF"/>
    <w:pPr>
      <w:spacing w:before="0" w:after="0" w:line="240" w:lineRule="auto"/>
      <w:contextualSpacing/>
    </w:pPr>
  </w:style>
  <w:style w:type="character" w:customStyle="1" w:styleId="FootnoteChar">
    <w:name w:val="Footnote Char"/>
    <w:basedOn w:val="FootnoteTextChar"/>
    <w:link w:val="Footnote"/>
    <w:rsid w:val="00CD2AFF"/>
    <w:rPr>
      <w:rFonts w:ascii="Times New Roman" w:eastAsia="Times New Roman" w:hAnsi="Times New Roman" w:cs="Times New Roman"/>
      <w:color w:val="000000"/>
      <w:sz w:val="20"/>
    </w:rPr>
  </w:style>
  <w:style w:type="paragraph" w:styleId="BalloonText">
    <w:name w:val="Balloon Text"/>
    <w:basedOn w:val="Normal"/>
    <w:link w:val="BalloonTextChar"/>
    <w:uiPriority w:val="99"/>
    <w:semiHidden/>
    <w:unhideWhenUsed/>
    <w:rsid w:val="00D1212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2125"/>
    <w:rPr>
      <w:rFonts w:ascii="Tahoma" w:eastAsia="Times New Roman"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AD4"/>
    <w:pPr>
      <w:spacing w:before="120" w:after="240" w:line="480" w:lineRule="auto"/>
      <w:ind w:firstLine="720"/>
    </w:pPr>
    <w:rPr>
      <w:rFonts w:ascii="Times New Roman" w:eastAsia="Times New Roman" w:hAnsi="Times New Roman" w:cs="Times New Roman"/>
      <w:color w:val="000000"/>
      <w:sz w:val="24"/>
    </w:rPr>
  </w:style>
  <w:style w:type="paragraph" w:styleId="Heading1">
    <w:name w:val="heading 1"/>
    <w:basedOn w:val="Normal"/>
    <w:next w:val="Normal"/>
    <w:link w:val="Heading1Char"/>
    <w:autoRedefine/>
    <w:uiPriority w:val="9"/>
    <w:qFormat/>
    <w:rsid w:val="0092074C"/>
    <w:pPr>
      <w:widowControl w:val="0"/>
      <w:spacing w:after="120" w:line="240" w:lineRule="auto"/>
      <w:ind w:firstLine="0"/>
      <w:jc w:val="center"/>
      <w:outlineLvl w:val="0"/>
    </w:pPr>
    <w:rPr>
      <w:rFonts w:eastAsiaTheme="majorEastAsia"/>
      <w:b/>
      <w:szCs w:val="32"/>
    </w:rPr>
  </w:style>
  <w:style w:type="paragraph" w:styleId="Heading2">
    <w:name w:val="heading 2"/>
    <w:basedOn w:val="Normal"/>
    <w:next w:val="Normal"/>
    <w:link w:val="Heading2Char"/>
    <w:uiPriority w:val="9"/>
    <w:unhideWhenUsed/>
    <w:qFormat/>
    <w:rsid w:val="00E5067E"/>
    <w:pPr>
      <w:spacing w:line="240" w:lineRule="auto"/>
      <w:ind w:firstLine="0"/>
      <w:jc w:val="left"/>
      <w:outlineLvl w:val="1"/>
    </w:pPr>
    <w:rPr>
      <w:rFonts w:cstheme="majorBidi"/>
      <w:b/>
      <w:bCs/>
      <w:sz w:val="26"/>
      <w:szCs w:val="26"/>
    </w:rPr>
  </w:style>
  <w:style w:type="paragraph" w:styleId="Heading3">
    <w:name w:val="heading 3"/>
    <w:basedOn w:val="Normal"/>
    <w:next w:val="Normal"/>
    <w:link w:val="Heading3Char"/>
    <w:uiPriority w:val="9"/>
    <w:unhideWhenUsed/>
    <w:qFormat/>
    <w:rsid w:val="003663F6"/>
    <w:pPr>
      <w:spacing w:line="240" w:lineRule="auto"/>
      <w:outlineLvl w:val="2"/>
    </w:pPr>
    <w:rPr>
      <w:b/>
    </w:rPr>
  </w:style>
  <w:style w:type="paragraph" w:styleId="Heading4">
    <w:name w:val="heading 4"/>
    <w:basedOn w:val="Normal"/>
    <w:next w:val="Normal"/>
    <w:link w:val="Heading4Char"/>
    <w:autoRedefine/>
    <w:uiPriority w:val="9"/>
    <w:unhideWhenUsed/>
    <w:qFormat/>
    <w:rsid w:val="00D83E65"/>
    <w:pPr>
      <w:spacing w:after="120" w:line="240" w:lineRule="auto"/>
      <w:ind w:left="720"/>
      <w:outlineLvl w:val="3"/>
    </w:pPr>
    <w:rPr>
      <w:b/>
      <w:bCs/>
      <w:i/>
      <w:iCs/>
    </w:rPr>
  </w:style>
  <w:style w:type="paragraph" w:styleId="Heading5">
    <w:name w:val="heading 5"/>
    <w:basedOn w:val="Normal"/>
    <w:next w:val="Normal"/>
    <w:link w:val="Heading5Char"/>
    <w:uiPriority w:val="9"/>
    <w:unhideWhenUsed/>
    <w:qFormat/>
    <w:rsid w:val="00BD6470"/>
    <w:pPr>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Quote">
    <w:name w:val="Quote"/>
    <w:basedOn w:val="Normal"/>
    <w:next w:val="Normal"/>
    <w:link w:val="QuoteChar"/>
    <w:autoRedefine/>
    <w:uiPriority w:val="29"/>
    <w:qFormat/>
    <w:rsid w:val="008546A5"/>
    <w:pPr>
      <w:spacing w:after="120" w:line="240" w:lineRule="auto"/>
      <w:ind w:left="720" w:right="720" w:firstLine="0"/>
    </w:pPr>
    <w:rPr>
      <w:i/>
      <w:iCs/>
      <w:color w:val="404040" w:themeColor="text1" w:themeTint="BF"/>
    </w:rPr>
  </w:style>
  <w:style w:type="character" w:customStyle="1" w:styleId="QuoteChar">
    <w:name w:val="Quote Char"/>
    <w:basedOn w:val="DefaultParagraphFont"/>
    <w:link w:val="Quote"/>
    <w:uiPriority w:val="29"/>
    <w:rsid w:val="008546A5"/>
    <w:rPr>
      <w:rFonts w:ascii="Times New Roman" w:eastAsia="Times New Roman" w:hAnsi="Times New Roman" w:cs="Times New Roman"/>
      <w:i/>
      <w:iCs/>
      <w:color w:val="404040" w:themeColor="text1" w:themeTint="BF"/>
      <w:sz w:val="24"/>
    </w:rPr>
  </w:style>
  <w:style w:type="character" w:customStyle="1" w:styleId="Heading1Char">
    <w:name w:val="Heading 1 Char"/>
    <w:basedOn w:val="DefaultParagraphFont"/>
    <w:link w:val="Heading1"/>
    <w:uiPriority w:val="9"/>
    <w:rsid w:val="0092074C"/>
    <w:rPr>
      <w:rFonts w:ascii="Times New Roman" w:eastAsiaTheme="majorEastAsia" w:hAnsi="Times New Roman" w:cs="Times New Roman"/>
      <w:b/>
      <w:color w:val="000000"/>
      <w:sz w:val="24"/>
      <w:szCs w:val="32"/>
    </w:rPr>
  </w:style>
  <w:style w:type="character" w:customStyle="1" w:styleId="Heading2Char">
    <w:name w:val="Heading 2 Char"/>
    <w:basedOn w:val="DefaultParagraphFont"/>
    <w:link w:val="Heading2"/>
    <w:uiPriority w:val="9"/>
    <w:rsid w:val="00E5067E"/>
    <w:rPr>
      <w:rFonts w:ascii="Times New Roman" w:eastAsia="Times New Roman" w:hAnsi="Times New Roman" w:cstheme="majorBidi"/>
      <w:b/>
      <w:bCs/>
      <w:color w:val="000000"/>
      <w:sz w:val="26"/>
      <w:szCs w:val="26"/>
    </w:rPr>
  </w:style>
  <w:style w:type="paragraph" w:customStyle="1" w:styleId="NumPara1">
    <w:name w:val="Num Para 1"/>
    <w:basedOn w:val="ListParagraph"/>
    <w:link w:val="NumPara1Char"/>
    <w:autoRedefine/>
    <w:qFormat/>
    <w:rsid w:val="0066376D"/>
    <w:pPr>
      <w:numPr>
        <w:numId w:val="30"/>
      </w:numPr>
      <w:autoSpaceDE w:val="0"/>
      <w:autoSpaceDN w:val="0"/>
      <w:adjustRightInd w:val="0"/>
      <w:spacing w:before="0" w:after="0" w:line="240" w:lineRule="auto"/>
      <w:contextualSpacing/>
    </w:pPr>
  </w:style>
  <w:style w:type="character" w:customStyle="1" w:styleId="NumPara1Char">
    <w:name w:val="Num Para 1 Char"/>
    <w:basedOn w:val="DefaultParagraphFont"/>
    <w:link w:val="NumPara1"/>
    <w:rsid w:val="0066376D"/>
    <w:rPr>
      <w:rFonts w:ascii="Times New Roman" w:eastAsia="Times New Roman" w:hAnsi="Times New Roman" w:cs="Times New Roman"/>
      <w:color w:val="000000"/>
      <w:sz w:val="24"/>
    </w:rPr>
  </w:style>
  <w:style w:type="paragraph" w:styleId="ListParagraph">
    <w:name w:val="List Paragraph"/>
    <w:basedOn w:val="Normal"/>
    <w:link w:val="ListParagraphChar"/>
    <w:autoRedefine/>
    <w:uiPriority w:val="34"/>
    <w:qFormat/>
    <w:rsid w:val="00124D37"/>
  </w:style>
  <w:style w:type="paragraph" w:customStyle="1" w:styleId="TOC">
    <w:name w:val="TOC"/>
    <w:basedOn w:val="TOCHeading"/>
    <w:link w:val="TOCChar"/>
    <w:autoRedefine/>
    <w:qFormat/>
    <w:rsid w:val="00B32522"/>
    <w:pPr>
      <w:spacing w:before="120"/>
    </w:pPr>
    <w:rPr>
      <w:rFonts w:ascii="Times New Roman" w:hAnsi="Times New Roman"/>
      <w:lang w:eastAsia="ja-JP"/>
    </w:rPr>
  </w:style>
  <w:style w:type="character" w:customStyle="1" w:styleId="TOCChar">
    <w:name w:val="TOC Char"/>
    <w:basedOn w:val="DefaultParagraphFont"/>
    <w:link w:val="TOC"/>
    <w:rsid w:val="00B32522"/>
    <w:rPr>
      <w:rFonts w:ascii="Times New Roman" w:eastAsiaTheme="majorEastAsia" w:hAnsi="Times New Roman" w:cstheme="majorBidi"/>
      <w:bCs/>
      <w:color w:val="2E74B5" w:themeColor="accent1" w:themeShade="BF"/>
      <w:sz w:val="24"/>
      <w:szCs w:val="28"/>
      <w:lang w:eastAsia="ja-JP"/>
    </w:rPr>
  </w:style>
  <w:style w:type="paragraph" w:styleId="TOCHeading">
    <w:name w:val="TOC Heading"/>
    <w:basedOn w:val="Heading1"/>
    <w:next w:val="Normal"/>
    <w:uiPriority w:val="39"/>
    <w:semiHidden/>
    <w:unhideWhenUsed/>
    <w:qFormat/>
    <w:rsid w:val="00B32522"/>
    <w:pPr>
      <w:spacing w:before="480"/>
      <w:outlineLvl w:val="9"/>
    </w:pPr>
    <w:rPr>
      <w:rFonts w:asciiTheme="majorHAnsi" w:hAnsiTheme="majorHAnsi" w:cstheme="majorBidi"/>
      <w:b w:val="0"/>
      <w:bCs/>
      <w:color w:val="2E74B5" w:themeColor="accent1" w:themeShade="BF"/>
      <w:szCs w:val="28"/>
    </w:rPr>
  </w:style>
  <w:style w:type="paragraph" w:styleId="TOC1">
    <w:name w:val="toc 1"/>
    <w:basedOn w:val="Normal"/>
    <w:next w:val="Normal"/>
    <w:autoRedefine/>
    <w:uiPriority w:val="39"/>
    <w:unhideWhenUsed/>
    <w:rsid w:val="00977F59"/>
    <w:rPr>
      <w:b/>
      <w:bCs/>
      <w:caps/>
    </w:rPr>
  </w:style>
  <w:style w:type="paragraph" w:styleId="NoSpacing">
    <w:name w:val="No Spacing"/>
    <w:link w:val="NoSpacingChar"/>
    <w:autoRedefine/>
    <w:uiPriority w:val="1"/>
    <w:qFormat/>
    <w:rsid w:val="00DD647D"/>
    <w:pPr>
      <w:keepNext/>
      <w:spacing w:before="120" w:after="120"/>
    </w:pPr>
    <w:rPr>
      <w:rFonts w:ascii="Times New Roman" w:eastAsiaTheme="minorEastAsia" w:hAnsi="Times New Roman"/>
      <w:sz w:val="24"/>
    </w:rPr>
  </w:style>
  <w:style w:type="paragraph" w:customStyle="1" w:styleId="Bullet">
    <w:name w:val="Bullet"/>
    <w:basedOn w:val="NumPara1"/>
    <w:link w:val="BulletChar"/>
    <w:qFormat/>
    <w:rsid w:val="00B32522"/>
    <w:pPr>
      <w:numPr>
        <w:numId w:val="28"/>
      </w:numPr>
    </w:pPr>
  </w:style>
  <w:style w:type="character" w:customStyle="1" w:styleId="BulletChar">
    <w:name w:val="Bullet Char"/>
    <w:basedOn w:val="NumPara1Char"/>
    <w:link w:val="Bullet"/>
    <w:rsid w:val="00B32522"/>
    <w:rPr>
      <w:rFonts w:ascii="Times New Roman" w:eastAsia="Times New Roman" w:hAnsi="Times New Roman" w:cs="Times New Roman"/>
      <w:color w:val="000000"/>
      <w:sz w:val="24"/>
      <w:szCs w:val="28"/>
    </w:rPr>
  </w:style>
  <w:style w:type="character" w:customStyle="1" w:styleId="serif">
    <w:name w:val="serif"/>
    <w:basedOn w:val="DefaultParagraphFont"/>
    <w:rsid w:val="00B32522"/>
  </w:style>
  <w:style w:type="character" w:customStyle="1" w:styleId="Heading3Char">
    <w:name w:val="Heading 3 Char"/>
    <w:basedOn w:val="DefaultParagraphFont"/>
    <w:link w:val="Heading3"/>
    <w:uiPriority w:val="9"/>
    <w:rsid w:val="003663F6"/>
    <w:rPr>
      <w:rFonts w:ascii="Times New Roman" w:eastAsia="Times New Roman" w:hAnsi="Times New Roman" w:cs="Times New Roman"/>
      <w:b/>
      <w:color w:val="000000"/>
      <w:sz w:val="24"/>
    </w:rPr>
  </w:style>
  <w:style w:type="character" w:customStyle="1" w:styleId="Heading4Char">
    <w:name w:val="Heading 4 Char"/>
    <w:basedOn w:val="DefaultParagraphFont"/>
    <w:link w:val="Heading4"/>
    <w:uiPriority w:val="9"/>
    <w:rsid w:val="00D83E65"/>
    <w:rPr>
      <w:rFonts w:ascii="Times New Roman" w:eastAsia="Times New Roman" w:hAnsi="Times New Roman" w:cs="Times New Roman"/>
      <w:b/>
      <w:bCs/>
      <w:i/>
      <w:iCs/>
      <w:color w:val="000000"/>
      <w:sz w:val="24"/>
    </w:rPr>
  </w:style>
  <w:style w:type="paragraph" w:styleId="FootnoteText">
    <w:name w:val="footnote text"/>
    <w:basedOn w:val="Normal"/>
    <w:link w:val="FootnoteTextChar"/>
    <w:uiPriority w:val="99"/>
    <w:unhideWhenUsed/>
    <w:rsid w:val="00B32522"/>
    <w:rPr>
      <w:sz w:val="20"/>
    </w:rPr>
  </w:style>
  <w:style w:type="character" w:customStyle="1" w:styleId="FootnoteTextChar">
    <w:name w:val="Footnote Text Char"/>
    <w:basedOn w:val="DefaultParagraphFont"/>
    <w:link w:val="FootnoteText"/>
    <w:uiPriority w:val="99"/>
    <w:rsid w:val="00B32522"/>
    <w:rPr>
      <w:rFonts w:ascii="Times New Roman" w:hAnsi="Times New Roman" w:cs="Times New Roman"/>
    </w:rPr>
  </w:style>
  <w:style w:type="paragraph" w:styleId="Header">
    <w:name w:val="header"/>
    <w:basedOn w:val="Normal"/>
    <w:link w:val="HeaderChar"/>
    <w:uiPriority w:val="99"/>
    <w:unhideWhenUsed/>
    <w:rsid w:val="00B32522"/>
    <w:pPr>
      <w:tabs>
        <w:tab w:val="center" w:pos="4680"/>
        <w:tab w:val="right" w:pos="9360"/>
      </w:tabs>
    </w:pPr>
  </w:style>
  <w:style w:type="character" w:customStyle="1" w:styleId="HeaderChar">
    <w:name w:val="Header Char"/>
    <w:basedOn w:val="DefaultParagraphFont"/>
    <w:link w:val="Header"/>
    <w:uiPriority w:val="99"/>
    <w:rsid w:val="00B32522"/>
    <w:rPr>
      <w:rFonts w:ascii="Times New Roman" w:hAnsi="Times New Roman"/>
      <w:sz w:val="24"/>
      <w:szCs w:val="28"/>
    </w:rPr>
  </w:style>
  <w:style w:type="paragraph" w:styleId="Footer">
    <w:name w:val="footer"/>
    <w:basedOn w:val="Normal"/>
    <w:link w:val="FooterChar"/>
    <w:uiPriority w:val="99"/>
    <w:unhideWhenUsed/>
    <w:rsid w:val="00B32522"/>
    <w:rPr>
      <w:sz w:val="20"/>
    </w:rPr>
  </w:style>
  <w:style w:type="character" w:customStyle="1" w:styleId="FooterChar">
    <w:name w:val="Footer Char"/>
    <w:basedOn w:val="DefaultParagraphFont"/>
    <w:link w:val="Footer"/>
    <w:uiPriority w:val="99"/>
    <w:rsid w:val="00B32522"/>
    <w:rPr>
      <w:rFonts w:ascii="Times New Roman" w:hAnsi="Times New Roman" w:cs="Times New Roman"/>
      <w:szCs w:val="28"/>
    </w:rPr>
  </w:style>
  <w:style w:type="character" w:styleId="FootnoteReference">
    <w:name w:val="footnote reference"/>
    <w:basedOn w:val="DefaultParagraphFont"/>
    <w:uiPriority w:val="99"/>
    <w:semiHidden/>
    <w:unhideWhenUsed/>
    <w:rsid w:val="00B32522"/>
    <w:rPr>
      <w:vertAlign w:val="superscript"/>
    </w:rPr>
  </w:style>
  <w:style w:type="character" w:styleId="EndnoteReference">
    <w:name w:val="endnote reference"/>
    <w:basedOn w:val="DefaultParagraphFont"/>
    <w:uiPriority w:val="99"/>
    <w:semiHidden/>
    <w:unhideWhenUsed/>
    <w:rsid w:val="00B32522"/>
    <w:rPr>
      <w:vertAlign w:val="superscript"/>
    </w:rPr>
  </w:style>
  <w:style w:type="paragraph" w:styleId="EndnoteText">
    <w:name w:val="endnote text"/>
    <w:basedOn w:val="Normal"/>
    <w:link w:val="EndnoteTextChar"/>
    <w:uiPriority w:val="99"/>
    <w:semiHidden/>
    <w:unhideWhenUsed/>
    <w:rsid w:val="00B32522"/>
    <w:rPr>
      <w:sz w:val="20"/>
    </w:rPr>
  </w:style>
  <w:style w:type="character" w:customStyle="1" w:styleId="EndnoteTextChar">
    <w:name w:val="Endnote Text Char"/>
    <w:basedOn w:val="DefaultParagraphFont"/>
    <w:link w:val="EndnoteText"/>
    <w:uiPriority w:val="99"/>
    <w:semiHidden/>
    <w:rsid w:val="00B32522"/>
    <w:rPr>
      <w:rFonts w:ascii="Times New Roman" w:hAnsi="Times New Roman"/>
    </w:rPr>
  </w:style>
  <w:style w:type="paragraph" w:styleId="Title">
    <w:name w:val="Title"/>
    <w:basedOn w:val="Normal"/>
    <w:next w:val="Normal"/>
    <w:link w:val="TitleChar"/>
    <w:uiPriority w:val="10"/>
    <w:qFormat/>
    <w:rsid w:val="00B32522"/>
    <w:pPr>
      <w:pBdr>
        <w:bottom w:val="single" w:sz="8" w:space="4" w:color="5B9BD5" w:themeColor="accent1"/>
      </w:pBdr>
      <w:spacing w:after="300"/>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B32522"/>
    <w:rPr>
      <w:rFonts w:asciiTheme="majorHAnsi" w:eastAsiaTheme="majorEastAsia" w:hAnsiTheme="majorHAnsi" w:cstheme="majorBidi"/>
      <w:color w:val="323E4F" w:themeColor="text2" w:themeShade="BF"/>
      <w:spacing w:val="5"/>
      <w:kern w:val="28"/>
      <w:sz w:val="52"/>
      <w:szCs w:val="52"/>
    </w:rPr>
  </w:style>
  <w:style w:type="character" w:styleId="Hyperlink">
    <w:name w:val="Hyperlink"/>
    <w:basedOn w:val="DefaultParagraphFont"/>
    <w:uiPriority w:val="99"/>
    <w:unhideWhenUsed/>
    <w:rsid w:val="00B32522"/>
    <w:rPr>
      <w:color w:val="0563C1" w:themeColor="hyperlink"/>
      <w:u w:val="single"/>
    </w:rPr>
  </w:style>
  <w:style w:type="table" w:styleId="TableGrid">
    <w:name w:val="Table Grid"/>
    <w:basedOn w:val="TableNormal"/>
    <w:uiPriority w:val="39"/>
    <w:rsid w:val="00B325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32522"/>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B32522"/>
    <w:rPr>
      <w:rFonts w:ascii="Times New Roman" w:hAnsi="Times New Roman"/>
      <w:b/>
      <w:bCs/>
      <w:i/>
      <w:iCs/>
      <w:color w:val="5B9BD5" w:themeColor="accent1"/>
      <w:sz w:val="24"/>
      <w:szCs w:val="28"/>
    </w:rPr>
  </w:style>
  <w:style w:type="character" w:customStyle="1" w:styleId="ListParagraphChar">
    <w:name w:val="List Paragraph Char"/>
    <w:basedOn w:val="DefaultParagraphFont"/>
    <w:link w:val="ListParagraph"/>
    <w:uiPriority w:val="34"/>
    <w:rsid w:val="00124D37"/>
    <w:rPr>
      <w:rFonts w:ascii="Times New Roman" w:eastAsiaTheme="minorEastAsia" w:hAnsi="Times New Roman"/>
      <w:sz w:val="28"/>
    </w:rPr>
  </w:style>
  <w:style w:type="character" w:customStyle="1" w:styleId="big">
    <w:name w:val="big"/>
    <w:basedOn w:val="DefaultParagraphFont"/>
    <w:rsid w:val="00DB673C"/>
  </w:style>
  <w:style w:type="character" w:customStyle="1" w:styleId="NoSpacingChar">
    <w:name w:val="No Spacing Char"/>
    <w:basedOn w:val="DefaultParagraphFont"/>
    <w:link w:val="NoSpacing"/>
    <w:uiPriority w:val="1"/>
    <w:locked/>
    <w:rsid w:val="00DD647D"/>
    <w:rPr>
      <w:rFonts w:ascii="Times New Roman" w:eastAsiaTheme="minorEastAsia" w:hAnsi="Times New Roman"/>
      <w:sz w:val="24"/>
    </w:rPr>
  </w:style>
  <w:style w:type="paragraph" w:customStyle="1" w:styleId="LegalHeading">
    <w:name w:val="Legal Heading"/>
    <w:basedOn w:val="Normal"/>
    <w:qFormat/>
    <w:rsid w:val="00DB673C"/>
    <w:pPr>
      <w:spacing w:before="0" w:after="0"/>
      <w:jc w:val="left"/>
    </w:pPr>
    <w:rPr>
      <w:rFonts w:eastAsia="Calibri"/>
      <w:color w:val="auto"/>
      <w:szCs w:val="24"/>
    </w:rPr>
  </w:style>
  <w:style w:type="paragraph" w:customStyle="1" w:styleId="Default">
    <w:name w:val="Default"/>
    <w:rsid w:val="004E1A6B"/>
    <w:pPr>
      <w:autoSpaceDE w:val="0"/>
      <w:autoSpaceDN w:val="0"/>
      <w:adjustRightInd w:val="0"/>
      <w:jc w:val="left"/>
    </w:pPr>
    <w:rPr>
      <w:rFonts w:ascii="Times New Roman" w:hAnsi="Times New Roman" w:cs="Times New Roman"/>
      <w:color w:val="000000"/>
      <w:sz w:val="24"/>
      <w:szCs w:val="24"/>
    </w:rPr>
  </w:style>
  <w:style w:type="character" w:customStyle="1" w:styleId="Heading5Char">
    <w:name w:val="Heading 5 Char"/>
    <w:basedOn w:val="DefaultParagraphFont"/>
    <w:link w:val="Heading5"/>
    <w:uiPriority w:val="9"/>
    <w:rsid w:val="00BD6470"/>
    <w:rPr>
      <w:rFonts w:asciiTheme="majorHAnsi" w:eastAsiaTheme="majorEastAsia" w:hAnsiTheme="majorHAnsi" w:cstheme="majorBidi"/>
      <w:color w:val="1F4D78" w:themeColor="accent1" w:themeShade="7F"/>
      <w:sz w:val="24"/>
    </w:rPr>
  </w:style>
  <w:style w:type="paragraph" w:customStyle="1" w:styleId="Footnote">
    <w:name w:val="Footnote"/>
    <w:basedOn w:val="FootnoteText"/>
    <w:link w:val="FootnoteChar"/>
    <w:qFormat/>
    <w:rsid w:val="00CD2AFF"/>
    <w:pPr>
      <w:spacing w:before="0" w:after="0" w:line="240" w:lineRule="auto"/>
      <w:contextualSpacing/>
    </w:pPr>
  </w:style>
  <w:style w:type="character" w:customStyle="1" w:styleId="FootnoteChar">
    <w:name w:val="Footnote Char"/>
    <w:basedOn w:val="FootnoteTextChar"/>
    <w:link w:val="Footnote"/>
    <w:rsid w:val="00CD2AFF"/>
    <w:rPr>
      <w:rFonts w:ascii="Times New Roman" w:eastAsia="Times New Roman" w:hAnsi="Times New Roman" w:cs="Times New Roman"/>
      <w:color w:val="000000"/>
      <w:sz w:val="20"/>
    </w:rPr>
  </w:style>
  <w:style w:type="paragraph" w:styleId="BalloonText">
    <w:name w:val="Balloon Text"/>
    <w:basedOn w:val="Normal"/>
    <w:link w:val="BalloonTextChar"/>
    <w:uiPriority w:val="99"/>
    <w:semiHidden/>
    <w:unhideWhenUsed/>
    <w:rsid w:val="00D1212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2125"/>
    <w:rPr>
      <w:rFonts w:ascii="Tahoma" w:eastAsia="Times New Roman"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casetext.com/case/mclendon-v-mclendo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0F0F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2765EE33-F0F4-40E1-887F-F93F6E30C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5632</Words>
  <Characters>32108</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Rik</dc:creator>
  <cp:lastModifiedBy>Rik</cp:lastModifiedBy>
  <cp:revision>3</cp:revision>
  <cp:lastPrinted>2022-01-13T19:53:00Z</cp:lastPrinted>
  <dcterms:created xsi:type="dcterms:W3CDTF">2022-01-14T21:23:00Z</dcterms:created>
  <dcterms:modified xsi:type="dcterms:W3CDTF">2022-01-14T21:24:00Z</dcterms:modified>
</cp:coreProperties>
</file>